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BE81" w14:textId="7D4BE549" w:rsidR="00BC02E5" w:rsidRPr="00DF0080" w:rsidRDefault="00233FE1" w:rsidP="00233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BC02E5" w:rsidRPr="00DF0080">
        <w:rPr>
          <w:b/>
          <w:sz w:val="28"/>
          <w:szCs w:val="28"/>
        </w:rPr>
        <w:t>РОССИЙСКАЯ ФЕДЕРАЦИЯ</w:t>
      </w:r>
    </w:p>
    <w:p w14:paraId="563B15FB" w14:textId="77777777" w:rsidR="00BC02E5" w:rsidRPr="00DF0080" w:rsidRDefault="00BC02E5" w:rsidP="00BC02E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14:paraId="33C72416" w14:textId="031EF83B" w:rsidR="00BC02E5" w:rsidRPr="00DF0080" w:rsidRDefault="00DB1291" w:rsidP="00BC0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СЕЛЕЦКИЙ</w:t>
      </w:r>
      <w:r w:rsidR="00BC02E5" w:rsidRPr="00DF0080">
        <w:rPr>
          <w:b/>
          <w:sz w:val="28"/>
          <w:szCs w:val="28"/>
        </w:rPr>
        <w:t xml:space="preserve"> СЕЛЬСКИЙ СОВЕТ НАРОДНЫХ ДЕПУТАТОВ</w:t>
      </w:r>
    </w:p>
    <w:p w14:paraId="79C03B07" w14:textId="77777777" w:rsidR="00BC02E5" w:rsidRPr="00DB1291" w:rsidRDefault="00BC02E5" w:rsidP="00BC02E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  <w:sz w:val="28"/>
          <w:szCs w:val="28"/>
        </w:rPr>
      </w:pPr>
      <w:r w:rsidRPr="00DB1291">
        <w:rPr>
          <w:b/>
          <w:spacing w:val="60"/>
          <w:sz w:val="28"/>
          <w:szCs w:val="28"/>
        </w:rPr>
        <w:t>РЕШЕНИЕ</w:t>
      </w:r>
    </w:p>
    <w:p w14:paraId="5EA56FFB" w14:textId="77777777" w:rsidR="00BC02E5" w:rsidRPr="00025452" w:rsidRDefault="00BC02E5" w:rsidP="00BC02E5">
      <w:pPr>
        <w:jc w:val="center"/>
        <w:rPr>
          <w:sz w:val="28"/>
          <w:szCs w:val="28"/>
        </w:rPr>
      </w:pPr>
    </w:p>
    <w:p w14:paraId="0BC5D484" w14:textId="56B9859C" w:rsidR="00BC02E5" w:rsidRPr="00025452" w:rsidRDefault="00BC02E5" w:rsidP="00DB1291">
      <w:pPr>
        <w:rPr>
          <w:b/>
          <w:sz w:val="28"/>
          <w:szCs w:val="28"/>
        </w:rPr>
      </w:pPr>
      <w:r w:rsidRPr="00260E06">
        <w:rPr>
          <w:b/>
          <w:sz w:val="28"/>
          <w:szCs w:val="28"/>
        </w:rPr>
        <w:t xml:space="preserve">от </w:t>
      </w:r>
      <w:r w:rsidR="00C10A47" w:rsidRPr="00260E06">
        <w:rPr>
          <w:b/>
          <w:sz w:val="28"/>
          <w:szCs w:val="28"/>
        </w:rPr>
        <w:t>18 июня</w:t>
      </w:r>
      <w:r w:rsidRPr="00260E06">
        <w:rPr>
          <w:b/>
          <w:sz w:val="28"/>
          <w:szCs w:val="28"/>
        </w:rPr>
        <w:t xml:space="preserve"> 2024 года </w:t>
      </w:r>
      <w:r w:rsidR="00DB1291">
        <w:rPr>
          <w:b/>
          <w:sz w:val="28"/>
          <w:szCs w:val="28"/>
        </w:rPr>
        <w:t xml:space="preserve">        </w:t>
      </w:r>
      <w:r w:rsidRPr="00260E06">
        <w:rPr>
          <w:b/>
          <w:sz w:val="28"/>
          <w:szCs w:val="28"/>
        </w:rPr>
        <w:t>№ 4-</w:t>
      </w:r>
      <w:r w:rsidR="00260E06" w:rsidRPr="00260E06">
        <w:rPr>
          <w:b/>
          <w:sz w:val="28"/>
          <w:szCs w:val="28"/>
        </w:rPr>
        <w:t>1</w:t>
      </w:r>
      <w:r w:rsidR="00DB1291">
        <w:rPr>
          <w:b/>
          <w:sz w:val="28"/>
          <w:szCs w:val="28"/>
        </w:rPr>
        <w:t>29</w:t>
      </w:r>
      <w:r w:rsidR="00DB1291">
        <w:rPr>
          <w:b/>
          <w:sz w:val="28"/>
          <w:szCs w:val="28"/>
        </w:rPr>
        <w:br/>
      </w:r>
      <w:proofErr w:type="spellStart"/>
      <w:r w:rsidR="00DB1291">
        <w:rPr>
          <w:b/>
          <w:sz w:val="28"/>
          <w:szCs w:val="28"/>
        </w:rPr>
        <w:t>с.Селец</w:t>
      </w:r>
      <w:proofErr w:type="spellEnd"/>
    </w:p>
    <w:p w14:paraId="2623DFB2" w14:textId="1211AA5A" w:rsidR="00DB1291" w:rsidRPr="00DB1291" w:rsidRDefault="00C10A47" w:rsidP="00DB1291">
      <w:pPr>
        <w:pStyle w:val="aa"/>
        <w:ind w:right="-94"/>
        <w:rPr>
          <w:b/>
          <w:sz w:val="24"/>
          <w:szCs w:val="24"/>
        </w:rPr>
      </w:pPr>
      <w:r w:rsidRPr="00DB1291">
        <w:rPr>
          <w:b/>
          <w:sz w:val="24"/>
          <w:szCs w:val="24"/>
        </w:rPr>
        <w:t>Об установлении размеров авансовых</w:t>
      </w:r>
    </w:p>
    <w:p w14:paraId="2518CC71" w14:textId="77777777" w:rsidR="00DB1291" w:rsidRPr="00DB1291" w:rsidRDefault="00C10A47" w:rsidP="00DB1291">
      <w:pPr>
        <w:pStyle w:val="aa"/>
        <w:ind w:right="-94"/>
        <w:rPr>
          <w:b/>
          <w:sz w:val="24"/>
          <w:szCs w:val="24"/>
        </w:rPr>
      </w:pPr>
      <w:r w:rsidRPr="00DB1291">
        <w:rPr>
          <w:b/>
          <w:sz w:val="24"/>
          <w:szCs w:val="24"/>
        </w:rPr>
        <w:t xml:space="preserve"> платежей при заключении </w:t>
      </w:r>
    </w:p>
    <w:p w14:paraId="024681B4" w14:textId="77777777" w:rsidR="00DB1291" w:rsidRPr="00DB1291" w:rsidRDefault="00C10A47" w:rsidP="00DB1291">
      <w:pPr>
        <w:pStyle w:val="aa"/>
        <w:ind w:right="-94"/>
        <w:rPr>
          <w:b/>
          <w:sz w:val="24"/>
          <w:szCs w:val="24"/>
        </w:rPr>
      </w:pPr>
      <w:r w:rsidRPr="00DB1291">
        <w:rPr>
          <w:b/>
          <w:sz w:val="24"/>
          <w:szCs w:val="24"/>
        </w:rPr>
        <w:t>муниципальных контрактов</w:t>
      </w:r>
    </w:p>
    <w:p w14:paraId="734D2916" w14:textId="77777777" w:rsidR="00DB1291" w:rsidRPr="00DB1291" w:rsidRDefault="00C10A47" w:rsidP="00DB1291">
      <w:pPr>
        <w:pStyle w:val="aa"/>
        <w:ind w:right="-94"/>
        <w:rPr>
          <w:b/>
          <w:sz w:val="24"/>
          <w:szCs w:val="24"/>
        </w:rPr>
      </w:pPr>
      <w:r w:rsidRPr="00DB1291">
        <w:rPr>
          <w:b/>
          <w:sz w:val="24"/>
          <w:szCs w:val="24"/>
        </w:rPr>
        <w:t xml:space="preserve"> </w:t>
      </w:r>
      <w:r w:rsidR="00503F6D" w:rsidRPr="00DB1291">
        <w:rPr>
          <w:b/>
          <w:sz w:val="24"/>
          <w:szCs w:val="24"/>
        </w:rPr>
        <w:t xml:space="preserve">на территории </w:t>
      </w:r>
      <w:proofErr w:type="spellStart"/>
      <w:r w:rsidR="00DB1291" w:rsidRPr="00DB1291">
        <w:rPr>
          <w:b/>
          <w:sz w:val="24"/>
          <w:szCs w:val="24"/>
        </w:rPr>
        <w:t>Селецкого</w:t>
      </w:r>
      <w:proofErr w:type="spellEnd"/>
      <w:r w:rsidR="0054525E" w:rsidRPr="00DB1291">
        <w:rPr>
          <w:b/>
          <w:sz w:val="24"/>
          <w:szCs w:val="24"/>
        </w:rPr>
        <w:t xml:space="preserve"> </w:t>
      </w:r>
    </w:p>
    <w:p w14:paraId="6DEC01E5" w14:textId="77777777" w:rsidR="00DB1291" w:rsidRPr="00DB1291" w:rsidRDefault="0054525E" w:rsidP="00DB1291">
      <w:pPr>
        <w:pStyle w:val="aa"/>
        <w:ind w:right="-94"/>
        <w:rPr>
          <w:b/>
          <w:sz w:val="24"/>
          <w:szCs w:val="24"/>
        </w:rPr>
      </w:pPr>
      <w:r w:rsidRPr="00DB1291">
        <w:rPr>
          <w:b/>
          <w:sz w:val="24"/>
          <w:szCs w:val="24"/>
        </w:rPr>
        <w:t xml:space="preserve">сельского </w:t>
      </w:r>
      <w:r w:rsidR="00503F6D" w:rsidRPr="00DB1291">
        <w:rPr>
          <w:b/>
          <w:sz w:val="24"/>
          <w:szCs w:val="24"/>
        </w:rPr>
        <w:t>поселения</w:t>
      </w:r>
      <w:r w:rsidR="00C10A47" w:rsidRPr="00DB1291">
        <w:rPr>
          <w:b/>
          <w:sz w:val="24"/>
          <w:szCs w:val="24"/>
        </w:rPr>
        <w:t xml:space="preserve"> </w:t>
      </w:r>
      <w:r w:rsidRPr="00DB1291">
        <w:rPr>
          <w:b/>
          <w:sz w:val="24"/>
          <w:szCs w:val="24"/>
        </w:rPr>
        <w:t>Трубчевского</w:t>
      </w:r>
    </w:p>
    <w:p w14:paraId="41428247" w14:textId="722E1BC3" w:rsidR="0054525E" w:rsidRPr="00DB1291" w:rsidRDefault="0054525E" w:rsidP="00DB1291">
      <w:pPr>
        <w:pStyle w:val="aa"/>
        <w:ind w:right="-94"/>
        <w:rPr>
          <w:b/>
          <w:sz w:val="24"/>
          <w:szCs w:val="24"/>
        </w:rPr>
      </w:pPr>
      <w:r w:rsidRPr="00DB1291">
        <w:rPr>
          <w:b/>
          <w:sz w:val="24"/>
          <w:szCs w:val="24"/>
        </w:rPr>
        <w:t xml:space="preserve"> </w:t>
      </w:r>
      <w:r w:rsidR="00BC02E5" w:rsidRPr="00DB1291">
        <w:rPr>
          <w:b/>
          <w:sz w:val="24"/>
          <w:szCs w:val="24"/>
        </w:rPr>
        <w:t xml:space="preserve">муниципального </w:t>
      </w:r>
      <w:r w:rsidRPr="00DB1291">
        <w:rPr>
          <w:b/>
          <w:sz w:val="24"/>
          <w:szCs w:val="24"/>
        </w:rPr>
        <w:t>района Брянской области</w:t>
      </w:r>
      <w:r w:rsidR="00C10A47" w:rsidRPr="00DB1291">
        <w:rPr>
          <w:b/>
          <w:sz w:val="24"/>
          <w:szCs w:val="24"/>
        </w:rPr>
        <w:t xml:space="preserve"> </w:t>
      </w:r>
      <w:r w:rsidR="00C10A47" w:rsidRPr="00DB1291">
        <w:rPr>
          <w:b/>
          <w:sz w:val="24"/>
          <w:szCs w:val="24"/>
        </w:rPr>
        <w:br/>
        <w:t>в 2024 году</w:t>
      </w:r>
    </w:p>
    <w:p w14:paraId="71D4FB75" w14:textId="20AC9E11" w:rsidR="00BC02E5" w:rsidRPr="00BA2387" w:rsidRDefault="00182C05" w:rsidP="00BA2387">
      <w:pPr>
        <w:pStyle w:val="ac"/>
        <w:rPr>
          <w:bCs/>
          <w:color w:val="000000"/>
        </w:rPr>
      </w:pPr>
      <w:r w:rsidRPr="00BA2387">
        <w:rPr>
          <w:sz w:val="28"/>
          <w:szCs w:val="28"/>
        </w:rPr>
        <w:t xml:space="preserve">Рассмотрев представление прокуратуры Трубчевского </w:t>
      </w:r>
      <w:r w:rsidR="00C10A47" w:rsidRPr="00BA2387">
        <w:rPr>
          <w:sz w:val="28"/>
          <w:szCs w:val="28"/>
        </w:rPr>
        <w:t>района от 11</w:t>
      </w:r>
      <w:r w:rsidRPr="00BA2387">
        <w:rPr>
          <w:sz w:val="28"/>
          <w:szCs w:val="28"/>
        </w:rPr>
        <w:t>.0</w:t>
      </w:r>
      <w:r w:rsidR="00C10A47" w:rsidRPr="00BA2387">
        <w:rPr>
          <w:sz w:val="28"/>
          <w:szCs w:val="28"/>
        </w:rPr>
        <w:t>6</w:t>
      </w:r>
      <w:r w:rsidRPr="00BA2387">
        <w:rPr>
          <w:sz w:val="28"/>
          <w:szCs w:val="28"/>
        </w:rPr>
        <w:t xml:space="preserve">.2024 № 09-2024, </w:t>
      </w:r>
      <w:proofErr w:type="spellStart"/>
      <w:r w:rsidR="00DB1291" w:rsidRPr="00BA2387">
        <w:rPr>
          <w:bCs/>
          <w:sz w:val="28"/>
          <w:szCs w:val="28"/>
        </w:rPr>
        <w:t>Селецкий</w:t>
      </w:r>
      <w:proofErr w:type="spellEnd"/>
      <w:r w:rsidR="00D9211A" w:rsidRPr="00BA2387">
        <w:rPr>
          <w:bCs/>
          <w:sz w:val="28"/>
          <w:szCs w:val="28"/>
        </w:rPr>
        <w:t xml:space="preserve"> сельский Совет народных депутатов</w:t>
      </w:r>
      <w:r w:rsidR="00C838BA" w:rsidRPr="00BA2387">
        <w:rPr>
          <w:bCs/>
          <w:color w:val="000000"/>
          <w:sz w:val="28"/>
          <w:szCs w:val="28"/>
        </w:rPr>
        <w:br/>
      </w:r>
      <w:r w:rsidR="00BC02E5" w:rsidRPr="00BA2387">
        <w:rPr>
          <w:bCs/>
          <w:color w:val="000000"/>
          <w:sz w:val="28"/>
          <w:szCs w:val="28"/>
        </w:rPr>
        <w:t>решил</w:t>
      </w:r>
      <w:r w:rsidR="00BC02E5" w:rsidRPr="00BA2387">
        <w:rPr>
          <w:bCs/>
          <w:color w:val="000000"/>
        </w:rPr>
        <w:t>:</w:t>
      </w:r>
    </w:p>
    <w:p w14:paraId="12BFB875" w14:textId="77777777" w:rsidR="00C10A47" w:rsidRPr="00DB1291" w:rsidRDefault="00C10A47" w:rsidP="00D00CFA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B1291">
        <w:rPr>
          <w:sz w:val="28"/>
          <w:szCs w:val="28"/>
        </w:rPr>
        <w:t>1. Установить, что:</w:t>
      </w:r>
    </w:p>
    <w:p w14:paraId="60142B35" w14:textId="6C82D354" w:rsidR="00C10A47" w:rsidRPr="00DB1291" w:rsidRDefault="00C10A47" w:rsidP="00DB1291">
      <w:pPr>
        <w:pStyle w:val="ac"/>
        <w:rPr>
          <w:sz w:val="28"/>
          <w:szCs w:val="28"/>
        </w:rPr>
      </w:pPr>
      <w:r w:rsidRPr="00DB1291">
        <w:rPr>
          <w:sz w:val="28"/>
          <w:szCs w:val="28"/>
        </w:rPr>
        <w:t xml:space="preserve">1) в 2024 году главные распорядители средств </w:t>
      </w:r>
      <w:r w:rsidR="0055169D" w:rsidRPr="00DB1291">
        <w:rPr>
          <w:sz w:val="28"/>
          <w:szCs w:val="28"/>
        </w:rPr>
        <w:t>местного</w:t>
      </w:r>
      <w:r w:rsidRPr="00DB1291">
        <w:rPr>
          <w:sz w:val="28"/>
          <w:szCs w:val="28"/>
        </w:rPr>
        <w:t xml:space="preserve"> бюджета как получатели средств </w:t>
      </w:r>
      <w:r w:rsidR="0055169D" w:rsidRPr="00DB1291">
        <w:rPr>
          <w:sz w:val="28"/>
          <w:szCs w:val="28"/>
        </w:rPr>
        <w:t>местного</w:t>
      </w:r>
      <w:r w:rsidRPr="00DB1291">
        <w:rPr>
          <w:sz w:val="28"/>
          <w:szCs w:val="28"/>
        </w:rPr>
        <w:t xml:space="preserve"> бюджета и подведомственные им получатели средств </w:t>
      </w:r>
      <w:r w:rsidR="0055169D" w:rsidRPr="00DB1291">
        <w:rPr>
          <w:sz w:val="28"/>
          <w:szCs w:val="28"/>
        </w:rPr>
        <w:t>местного</w:t>
      </w:r>
      <w:r w:rsidRPr="00DB1291">
        <w:rPr>
          <w:sz w:val="28"/>
          <w:szCs w:val="28"/>
        </w:rPr>
        <w:t xml:space="preserve"> бюджета (далее</w:t>
      </w:r>
      <w:r w:rsidR="0055169D" w:rsidRPr="00DB1291">
        <w:rPr>
          <w:sz w:val="28"/>
          <w:szCs w:val="28"/>
        </w:rPr>
        <w:t xml:space="preserve"> –</w:t>
      </w:r>
      <w:r w:rsidRPr="00DB1291">
        <w:rPr>
          <w:sz w:val="28"/>
          <w:szCs w:val="28"/>
        </w:rPr>
        <w:t xml:space="preserve"> получатели средств </w:t>
      </w:r>
      <w:r w:rsidR="0055169D" w:rsidRPr="00DB1291">
        <w:rPr>
          <w:sz w:val="28"/>
          <w:szCs w:val="28"/>
        </w:rPr>
        <w:t>местного</w:t>
      </w:r>
      <w:r w:rsidRPr="00DB1291">
        <w:rPr>
          <w:sz w:val="28"/>
          <w:szCs w:val="28"/>
        </w:rPr>
        <w:t xml:space="preserve"> бюджета) предусматривают в заключаемых ими договорах (</w:t>
      </w:r>
      <w:r w:rsidR="0055169D" w:rsidRPr="00DB1291">
        <w:rPr>
          <w:sz w:val="28"/>
          <w:szCs w:val="28"/>
        </w:rPr>
        <w:t>муниципальных</w:t>
      </w:r>
      <w:r w:rsidR="00DB1291" w:rsidRPr="00DB1291">
        <w:rPr>
          <w:sz w:val="28"/>
          <w:szCs w:val="28"/>
        </w:rPr>
        <w:t xml:space="preserve"> </w:t>
      </w:r>
      <w:r w:rsidRPr="00DB1291">
        <w:rPr>
          <w:sz w:val="28"/>
          <w:szCs w:val="28"/>
        </w:rPr>
        <w:t xml:space="preserve">контрактах) </w:t>
      </w:r>
      <w:r w:rsidR="0055169D" w:rsidRPr="00DB1291">
        <w:rPr>
          <w:sz w:val="28"/>
          <w:szCs w:val="28"/>
        </w:rPr>
        <w:br/>
      </w:r>
      <w:r w:rsidRPr="00DB1291">
        <w:rPr>
          <w:sz w:val="28"/>
          <w:szCs w:val="28"/>
        </w:rPr>
        <w:t xml:space="preserve">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</w:t>
      </w:r>
      <w:r w:rsidR="0055169D" w:rsidRPr="00DB1291">
        <w:rPr>
          <w:sz w:val="28"/>
          <w:szCs w:val="28"/>
        </w:rPr>
        <w:br/>
      </w:r>
      <w:r w:rsidRPr="00DB1291">
        <w:rPr>
          <w:sz w:val="28"/>
          <w:szCs w:val="28"/>
        </w:rPr>
        <w:t xml:space="preserve">с бюджетным законодательством Российской Федерации, авансовые платежи </w:t>
      </w:r>
      <w:r w:rsidR="0055169D" w:rsidRPr="00DB1291">
        <w:rPr>
          <w:sz w:val="28"/>
          <w:szCs w:val="28"/>
        </w:rPr>
        <w:br/>
      </w:r>
      <w:r w:rsidRPr="00DB1291">
        <w:rPr>
          <w:sz w:val="28"/>
          <w:szCs w:val="28"/>
        </w:rPr>
        <w:t>в размере от 30 до 50 процентов суммы договора (</w:t>
      </w:r>
      <w:r w:rsidR="0055169D" w:rsidRPr="00DB1291">
        <w:rPr>
          <w:sz w:val="28"/>
          <w:szCs w:val="28"/>
        </w:rPr>
        <w:t>муниципального</w:t>
      </w:r>
      <w:r w:rsidRPr="00DB1291">
        <w:rPr>
          <w:sz w:val="28"/>
          <w:szCs w:val="28"/>
        </w:rPr>
        <w:t xml:space="preserve"> контракта), </w:t>
      </w:r>
      <w:r w:rsidR="0055169D" w:rsidRPr="00DB1291">
        <w:rPr>
          <w:sz w:val="28"/>
          <w:szCs w:val="28"/>
        </w:rPr>
        <w:br/>
      </w:r>
      <w:r w:rsidRPr="00DB1291">
        <w:rPr>
          <w:sz w:val="28"/>
          <w:szCs w:val="28"/>
        </w:rPr>
        <w:t xml:space="preserve">но не более лимитов бюджетных обязательств, доведенных до получателей средств </w:t>
      </w:r>
      <w:r w:rsidR="0055169D" w:rsidRPr="00DB1291">
        <w:rPr>
          <w:sz w:val="28"/>
          <w:szCs w:val="28"/>
        </w:rPr>
        <w:t>местного</w:t>
      </w:r>
      <w:r w:rsidRPr="00DB1291">
        <w:rPr>
          <w:sz w:val="28"/>
          <w:szCs w:val="28"/>
        </w:rPr>
        <w:t xml:space="preserve"> бюджета на указанные цели на соответствующий финансовый год.</w:t>
      </w:r>
    </w:p>
    <w:p w14:paraId="00CA6DC5" w14:textId="77777777" w:rsidR="00C10A47" w:rsidRPr="00DB1291" w:rsidRDefault="00C10A47" w:rsidP="00C10A47">
      <w:pPr>
        <w:pStyle w:val="aa"/>
        <w:ind w:firstLine="709"/>
        <w:jc w:val="both"/>
        <w:rPr>
          <w:sz w:val="28"/>
          <w:szCs w:val="28"/>
        </w:rPr>
      </w:pPr>
      <w:r w:rsidRPr="00DB1291">
        <w:rPr>
          <w:sz w:val="28"/>
          <w:szCs w:val="28"/>
        </w:rPr>
        <w:t>В случае если исполнение договора (</w:t>
      </w:r>
      <w:r w:rsidR="0055169D" w:rsidRPr="00DB1291">
        <w:rPr>
          <w:sz w:val="28"/>
          <w:szCs w:val="28"/>
        </w:rPr>
        <w:t xml:space="preserve">муниципального </w:t>
      </w:r>
      <w:r w:rsidRPr="00DB1291">
        <w:rPr>
          <w:sz w:val="28"/>
          <w:szCs w:val="28"/>
        </w:rPr>
        <w:t>контракта), указанного в абзаце первом настоящего подпункта, осуществляется в 2024 году и пос</w:t>
      </w:r>
      <w:r w:rsidR="0099027D" w:rsidRPr="00DB1291">
        <w:rPr>
          <w:sz w:val="28"/>
          <w:szCs w:val="28"/>
        </w:rPr>
        <w:t>ледующих годах и соответствующих</w:t>
      </w:r>
      <w:r w:rsidRPr="00DB1291">
        <w:rPr>
          <w:sz w:val="28"/>
          <w:szCs w:val="28"/>
        </w:rPr>
        <w:t xml:space="preserve"> лимитов бюджетных обязательств, доведенных до получателя средств </w:t>
      </w:r>
      <w:r w:rsidR="00590249" w:rsidRPr="00DB1291">
        <w:rPr>
          <w:sz w:val="28"/>
          <w:szCs w:val="28"/>
        </w:rPr>
        <w:t>местного</w:t>
      </w:r>
      <w:r w:rsidRPr="00DB1291">
        <w:rPr>
          <w:sz w:val="28"/>
          <w:szCs w:val="28"/>
        </w:rPr>
        <w:t xml:space="preserve"> бюджета, недостаточно для выплаты авансового платежа в текущем финансовом году, в договоре (</w:t>
      </w:r>
      <w:r w:rsidR="00590249" w:rsidRPr="00DB1291">
        <w:rPr>
          <w:sz w:val="28"/>
          <w:szCs w:val="28"/>
        </w:rPr>
        <w:t xml:space="preserve">муниципальном </w:t>
      </w:r>
      <w:r w:rsidRPr="00DB1291">
        <w:rPr>
          <w:sz w:val="28"/>
          <w:szCs w:val="28"/>
        </w:rPr>
        <w:t xml:space="preserve">контракте) предусматривается условие о выплате части такого авансового платежа в </w:t>
      </w:r>
      <w:r w:rsidR="00590249" w:rsidRPr="00DB1291">
        <w:rPr>
          <w:sz w:val="28"/>
          <w:szCs w:val="28"/>
        </w:rPr>
        <w:t xml:space="preserve">оставшемся </w:t>
      </w:r>
      <w:r w:rsidRPr="00DB1291">
        <w:rPr>
          <w:sz w:val="28"/>
          <w:szCs w:val="28"/>
        </w:rPr>
        <w:t xml:space="preserve">размере не позднее 01 февраля очередного финансового года </w:t>
      </w:r>
      <w:r w:rsidR="00590249" w:rsidRPr="00DB1291">
        <w:rPr>
          <w:sz w:val="28"/>
          <w:szCs w:val="28"/>
        </w:rPr>
        <w:br/>
      </w:r>
      <w:r w:rsidRPr="00DB1291">
        <w:rPr>
          <w:sz w:val="28"/>
          <w:szCs w:val="28"/>
        </w:rPr>
        <w:t>без подтверждения поставки товаров (выполнения работ, оказания услуг) в объеме ранее выплаченного авансового платежа;</w:t>
      </w:r>
    </w:p>
    <w:p w14:paraId="70E1C60D" w14:textId="59D5D577" w:rsidR="00C10A47" w:rsidRPr="00DB1291" w:rsidRDefault="00D00CFA" w:rsidP="00D00CFA">
      <w:pPr>
        <w:widowControl w:val="0"/>
        <w:tabs>
          <w:tab w:val="left" w:pos="187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B1291">
        <w:rPr>
          <w:sz w:val="28"/>
          <w:szCs w:val="28"/>
        </w:rPr>
        <w:t xml:space="preserve">2) </w:t>
      </w:r>
      <w:r w:rsidR="00C10A47" w:rsidRPr="00DB1291">
        <w:rPr>
          <w:sz w:val="28"/>
          <w:szCs w:val="28"/>
        </w:rPr>
        <w:t>в случае предоставления в 2024 году субсидии, иного межбюджетного трансферта из федерального</w:t>
      </w:r>
      <w:r w:rsidR="00590249" w:rsidRPr="00DB1291">
        <w:rPr>
          <w:sz w:val="28"/>
          <w:szCs w:val="28"/>
        </w:rPr>
        <w:t xml:space="preserve"> </w:t>
      </w:r>
      <w:r w:rsidR="00C10A47" w:rsidRPr="00DB1291">
        <w:rPr>
          <w:sz w:val="28"/>
          <w:szCs w:val="28"/>
        </w:rPr>
        <w:t xml:space="preserve">бюджета </w:t>
      </w:r>
      <w:r w:rsidR="00590249" w:rsidRPr="00DB1291">
        <w:rPr>
          <w:sz w:val="28"/>
          <w:szCs w:val="28"/>
        </w:rPr>
        <w:t>областному</w:t>
      </w:r>
      <w:r w:rsidR="00C10A47" w:rsidRPr="00DB1291">
        <w:rPr>
          <w:sz w:val="28"/>
          <w:szCs w:val="28"/>
        </w:rPr>
        <w:t xml:space="preserve"> бюджету в целях софинансирования расходных обязательств </w:t>
      </w:r>
      <w:r w:rsidR="00590249" w:rsidRPr="00DB1291">
        <w:rPr>
          <w:sz w:val="28"/>
          <w:szCs w:val="28"/>
        </w:rPr>
        <w:t>Брянской</w:t>
      </w:r>
      <w:r w:rsidR="00C10A47" w:rsidRPr="00DB1291">
        <w:rPr>
          <w:sz w:val="28"/>
          <w:szCs w:val="28"/>
        </w:rPr>
        <w:t xml:space="preserve"> области, связанных </w:t>
      </w:r>
      <w:r w:rsidR="00590249" w:rsidRPr="00DB1291">
        <w:rPr>
          <w:sz w:val="28"/>
          <w:szCs w:val="28"/>
        </w:rPr>
        <w:br/>
      </w:r>
      <w:r w:rsidR="00C10A47" w:rsidRPr="00DB1291">
        <w:rPr>
          <w:sz w:val="28"/>
          <w:szCs w:val="28"/>
        </w:rPr>
        <w:t xml:space="preserve">с предоставлением субсидий и иных межбюджетных трансфертов из областного </w:t>
      </w:r>
      <w:r w:rsidR="00C10A47" w:rsidRPr="00DB1291">
        <w:rPr>
          <w:sz w:val="28"/>
          <w:szCs w:val="28"/>
        </w:rPr>
        <w:lastRenderedPageBreak/>
        <w:t xml:space="preserve">бюджета местным бюджетам в целях софинансирования расходных обязательств </w:t>
      </w:r>
      <w:proofErr w:type="spellStart"/>
      <w:r w:rsidR="00DB1291" w:rsidRPr="00DB1291">
        <w:rPr>
          <w:sz w:val="28"/>
          <w:szCs w:val="28"/>
        </w:rPr>
        <w:t>Селецкого</w:t>
      </w:r>
      <w:proofErr w:type="spellEnd"/>
      <w:r w:rsidR="00590249" w:rsidRPr="00DB1291">
        <w:rPr>
          <w:sz w:val="28"/>
          <w:szCs w:val="28"/>
        </w:rPr>
        <w:t xml:space="preserve"> сельского поселения Трубчевского муниципального района Брянской</w:t>
      </w:r>
      <w:r w:rsidR="00C10A47" w:rsidRPr="00DB1291">
        <w:rPr>
          <w:sz w:val="28"/>
          <w:szCs w:val="28"/>
        </w:rPr>
        <w:t xml:space="preserve"> области, возникающих из муниципальных</w:t>
      </w:r>
      <w:r w:rsidRPr="00DB1291">
        <w:rPr>
          <w:sz w:val="28"/>
          <w:szCs w:val="28"/>
        </w:rPr>
        <w:t xml:space="preserve"> </w:t>
      </w:r>
      <w:r w:rsidR="00C10A47" w:rsidRPr="00DB1291">
        <w:rPr>
          <w:sz w:val="28"/>
          <w:szCs w:val="28"/>
        </w:rPr>
        <w:t xml:space="preserve">контрактов на поставку товаров 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</w:t>
      </w:r>
      <w:r w:rsidR="00590249" w:rsidRPr="00DB1291">
        <w:rPr>
          <w:sz w:val="28"/>
          <w:szCs w:val="28"/>
        </w:rPr>
        <w:br/>
      </w:r>
      <w:r w:rsidR="00C10A47" w:rsidRPr="00DB1291">
        <w:rPr>
          <w:sz w:val="28"/>
          <w:szCs w:val="28"/>
        </w:rPr>
        <w:t>в соглашения о предоставлении таких межбюджетных трансфертов из областного бюдже</w:t>
      </w:r>
      <w:r w:rsidR="00590249" w:rsidRPr="00DB1291">
        <w:rPr>
          <w:sz w:val="28"/>
          <w:szCs w:val="28"/>
        </w:rPr>
        <w:t xml:space="preserve">та включается </w:t>
      </w:r>
      <w:r w:rsidR="00163F55" w:rsidRPr="00DB1291">
        <w:rPr>
          <w:sz w:val="28"/>
          <w:szCs w:val="28"/>
        </w:rPr>
        <w:t>обязательство муниципального</w:t>
      </w:r>
      <w:r w:rsidR="00C10A47" w:rsidRPr="00DB1291">
        <w:rPr>
          <w:sz w:val="28"/>
          <w:szCs w:val="28"/>
        </w:rPr>
        <w:t xml:space="preserve"> образования </w:t>
      </w:r>
      <w:r w:rsidR="00D67F9E" w:rsidRPr="00DB1291">
        <w:rPr>
          <w:sz w:val="28"/>
          <w:szCs w:val="28"/>
        </w:rPr>
        <w:br/>
      </w:r>
      <w:r w:rsidR="00C10A47" w:rsidRPr="00DB1291">
        <w:rPr>
          <w:sz w:val="28"/>
          <w:szCs w:val="28"/>
        </w:rPr>
        <w:t xml:space="preserve">по установлению в указанных муниципальных контрактах, заключаемых </w:t>
      </w:r>
      <w:r w:rsidR="00D67F9E" w:rsidRPr="00DB1291">
        <w:rPr>
          <w:sz w:val="28"/>
          <w:szCs w:val="28"/>
        </w:rPr>
        <w:br/>
      </w:r>
      <w:r w:rsidR="00C10A47" w:rsidRPr="00DB1291">
        <w:rPr>
          <w:sz w:val="28"/>
          <w:szCs w:val="28"/>
        </w:rPr>
        <w:t xml:space="preserve">в 2024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превышающие указанный размер, </w:t>
      </w:r>
      <w:r w:rsidR="00D67F9E" w:rsidRPr="00DB1291">
        <w:rPr>
          <w:sz w:val="28"/>
          <w:szCs w:val="28"/>
        </w:rPr>
        <w:br/>
      </w:r>
      <w:r w:rsidR="00C10A47" w:rsidRPr="00DB1291">
        <w:rPr>
          <w:sz w:val="28"/>
          <w:szCs w:val="28"/>
        </w:rPr>
        <w:t xml:space="preserve">для таких муниципальных контрактов не установлены нормативными правовыми актами Правительства Российской Федерации (за исключением нормативных правовых актов Правительства Российской Федерации, </w:t>
      </w:r>
      <w:r w:rsidR="00163F55" w:rsidRPr="00DB1291">
        <w:rPr>
          <w:sz w:val="28"/>
          <w:szCs w:val="28"/>
        </w:rPr>
        <w:t xml:space="preserve">устанавливающих правила </w:t>
      </w:r>
      <w:r w:rsidR="00C10A47" w:rsidRPr="00DB1291">
        <w:rPr>
          <w:sz w:val="28"/>
          <w:szCs w:val="28"/>
        </w:rPr>
        <w:t xml:space="preserve">предоставления субсидий), но не более </w:t>
      </w:r>
      <w:r w:rsidR="00163F55" w:rsidRPr="00DB1291">
        <w:rPr>
          <w:sz w:val="28"/>
          <w:szCs w:val="28"/>
        </w:rPr>
        <w:t xml:space="preserve">лимитов бюджетных </w:t>
      </w:r>
      <w:r w:rsidR="00C10A47" w:rsidRPr="00DB1291">
        <w:rPr>
          <w:sz w:val="28"/>
          <w:szCs w:val="28"/>
        </w:rPr>
        <w:t xml:space="preserve">обязательств, доведенных </w:t>
      </w:r>
      <w:r w:rsidR="00163F55" w:rsidRPr="00DB1291">
        <w:rPr>
          <w:sz w:val="28"/>
          <w:szCs w:val="28"/>
        </w:rPr>
        <w:t>до соответствующих</w:t>
      </w:r>
      <w:r w:rsidR="00C10A47" w:rsidRPr="00DB1291">
        <w:rPr>
          <w:sz w:val="28"/>
          <w:szCs w:val="28"/>
        </w:rPr>
        <w:t xml:space="preserve"> получателей средств областного бюджета </w:t>
      </w:r>
      <w:r w:rsidR="00D67F9E" w:rsidRPr="00DB1291">
        <w:rPr>
          <w:sz w:val="28"/>
          <w:szCs w:val="28"/>
        </w:rPr>
        <w:br/>
      </w:r>
      <w:r w:rsidR="00C10A47" w:rsidRPr="00DB1291">
        <w:rPr>
          <w:sz w:val="28"/>
          <w:szCs w:val="28"/>
        </w:rPr>
        <w:t>на указанные цели на соответствующий финансовый год;</w:t>
      </w:r>
    </w:p>
    <w:p w14:paraId="24E84ECE" w14:textId="1F59A151" w:rsidR="00DD51E0" w:rsidRPr="00C838BA" w:rsidRDefault="00D00CFA" w:rsidP="00C838BA">
      <w:pPr>
        <w:pStyle w:val="ac"/>
        <w:rPr>
          <w:sz w:val="28"/>
          <w:szCs w:val="28"/>
        </w:rPr>
      </w:pPr>
      <w:r w:rsidRPr="00C838BA">
        <w:rPr>
          <w:sz w:val="28"/>
          <w:szCs w:val="28"/>
        </w:rPr>
        <w:t xml:space="preserve">3) </w:t>
      </w:r>
      <w:r w:rsidR="00C10A47" w:rsidRPr="00C838BA">
        <w:rPr>
          <w:sz w:val="28"/>
          <w:szCs w:val="28"/>
        </w:rPr>
        <w:t xml:space="preserve">получатели средств </w:t>
      </w:r>
      <w:r w:rsidR="00163F55" w:rsidRPr="00C838BA">
        <w:rPr>
          <w:sz w:val="28"/>
          <w:szCs w:val="28"/>
        </w:rPr>
        <w:t>местного</w:t>
      </w:r>
      <w:r w:rsidR="00C10A47" w:rsidRPr="00C838BA">
        <w:rPr>
          <w:sz w:val="28"/>
          <w:szCs w:val="28"/>
        </w:rPr>
        <w:t xml:space="preserve"> бюджета вправе в соответствии с частью 65.1 статьи 112 Федерального закона </w:t>
      </w:r>
      <w:r w:rsidR="00163F55" w:rsidRPr="00C838BA">
        <w:rPr>
          <w:sz w:val="28"/>
          <w:szCs w:val="28"/>
        </w:rPr>
        <w:t>«</w:t>
      </w:r>
      <w:r w:rsidR="00C10A47" w:rsidRPr="00C838B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163F55" w:rsidRPr="00C838BA">
        <w:rPr>
          <w:sz w:val="28"/>
          <w:szCs w:val="28"/>
        </w:rPr>
        <w:t>и муниципальных нужд»</w:t>
      </w:r>
      <w:r w:rsidR="00C10A47" w:rsidRPr="00C838BA">
        <w:rPr>
          <w:sz w:val="28"/>
          <w:szCs w:val="28"/>
        </w:rPr>
        <w:t xml:space="preserve"> внести по соглашению сторон в заключенные до дня вступления в силу настоящего </w:t>
      </w:r>
      <w:r w:rsidR="00163F55" w:rsidRPr="00C838BA">
        <w:rPr>
          <w:sz w:val="28"/>
          <w:szCs w:val="28"/>
        </w:rPr>
        <w:t>решения</w:t>
      </w:r>
      <w:r w:rsidR="00C10A47" w:rsidRPr="00C838BA">
        <w:rPr>
          <w:sz w:val="28"/>
          <w:szCs w:val="28"/>
        </w:rPr>
        <w:t xml:space="preserve"> договоры (</w:t>
      </w:r>
      <w:r w:rsidR="00163F55" w:rsidRPr="00C838BA">
        <w:rPr>
          <w:sz w:val="28"/>
          <w:szCs w:val="28"/>
        </w:rPr>
        <w:t>муниципальные</w:t>
      </w:r>
      <w:r w:rsidR="00C10A47" w:rsidRPr="00C838BA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подпунктом 1 настоящего </w:t>
      </w:r>
      <w:r w:rsidR="00163F55" w:rsidRPr="00C838BA">
        <w:rPr>
          <w:sz w:val="28"/>
          <w:szCs w:val="28"/>
        </w:rPr>
        <w:t>пункта (</w:t>
      </w:r>
      <w:r w:rsidR="00C10A47" w:rsidRPr="00C838BA">
        <w:rPr>
          <w:sz w:val="28"/>
          <w:szCs w:val="28"/>
        </w:rPr>
        <w:t>увеличения предусмотренных указанными договорами (</w:t>
      </w:r>
      <w:r w:rsidR="00163F55" w:rsidRPr="00C838BA">
        <w:rPr>
          <w:sz w:val="28"/>
          <w:szCs w:val="28"/>
        </w:rPr>
        <w:t>муниципальными</w:t>
      </w:r>
      <w:r w:rsidR="00C10A47" w:rsidRPr="00C838BA">
        <w:rPr>
          <w:sz w:val="28"/>
          <w:szCs w:val="28"/>
        </w:rPr>
        <w:t xml:space="preserve"> контрактами) размеров авансовых платежей до размеров, </w:t>
      </w:r>
      <w:r w:rsidR="00163F55" w:rsidRPr="00C838BA">
        <w:rPr>
          <w:sz w:val="28"/>
          <w:szCs w:val="28"/>
        </w:rPr>
        <w:t xml:space="preserve">определенных </w:t>
      </w:r>
      <w:r w:rsidR="00C10A47" w:rsidRPr="00C838BA">
        <w:rPr>
          <w:sz w:val="28"/>
          <w:szCs w:val="28"/>
        </w:rPr>
        <w:t xml:space="preserve">в соответствии с подпунктом 1 настоящего </w:t>
      </w:r>
      <w:r w:rsidR="00163F55" w:rsidRPr="00C838BA">
        <w:rPr>
          <w:sz w:val="28"/>
          <w:szCs w:val="28"/>
        </w:rPr>
        <w:t>пункта)</w:t>
      </w:r>
      <w:r w:rsidR="00C10A47" w:rsidRPr="00C838BA">
        <w:rPr>
          <w:sz w:val="28"/>
          <w:szCs w:val="28"/>
        </w:rPr>
        <w:t xml:space="preserve"> с соблюдением размера</w:t>
      </w:r>
      <w:r w:rsidR="0012012A">
        <w:rPr>
          <w:sz w:val="28"/>
          <w:szCs w:val="28"/>
        </w:rPr>
        <w:t xml:space="preserve"> </w:t>
      </w:r>
      <w:r w:rsidR="00C10A47" w:rsidRPr="00C838BA">
        <w:rPr>
          <w:sz w:val="28"/>
          <w:szCs w:val="28"/>
        </w:rPr>
        <w:t xml:space="preserve">обеспечения исполнения договора </w:t>
      </w:r>
      <w:r w:rsidR="00163F55" w:rsidRPr="00C838BA">
        <w:rPr>
          <w:sz w:val="28"/>
          <w:szCs w:val="28"/>
        </w:rPr>
        <w:t>(муниципального</w:t>
      </w:r>
      <w:r w:rsidR="00C10A47" w:rsidRPr="00C838BA">
        <w:rPr>
          <w:sz w:val="28"/>
          <w:szCs w:val="28"/>
        </w:rPr>
        <w:t xml:space="preserve"> контракта), устанавливаемого в соответствии с частью 6 статьи 96 </w:t>
      </w:r>
      <w:r w:rsidR="00163F55" w:rsidRPr="00C838BA">
        <w:rPr>
          <w:sz w:val="28"/>
          <w:szCs w:val="28"/>
        </w:rPr>
        <w:t>Федерального закона «</w:t>
      </w:r>
      <w:r w:rsidR="00C10A47" w:rsidRPr="00C838B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163F55" w:rsidRPr="00C838BA">
        <w:rPr>
          <w:sz w:val="28"/>
          <w:szCs w:val="28"/>
        </w:rPr>
        <w:t>нужд»</w:t>
      </w:r>
      <w:r w:rsidR="00C10A47" w:rsidRPr="00C838BA">
        <w:rPr>
          <w:sz w:val="28"/>
          <w:szCs w:val="28"/>
        </w:rPr>
        <w:t>.</w:t>
      </w:r>
      <w:r w:rsidR="00C838BA" w:rsidRPr="00C838BA">
        <w:rPr>
          <w:sz w:val="28"/>
          <w:szCs w:val="28"/>
        </w:rPr>
        <w:br/>
        <w:t xml:space="preserve">          </w:t>
      </w:r>
      <w:r w:rsidRPr="00C838BA">
        <w:rPr>
          <w:sz w:val="28"/>
          <w:szCs w:val="28"/>
        </w:rPr>
        <w:t>2</w:t>
      </w:r>
      <w:r w:rsidR="0054525E" w:rsidRPr="00C838BA">
        <w:rPr>
          <w:sz w:val="28"/>
          <w:szCs w:val="28"/>
        </w:rPr>
        <w:t xml:space="preserve">. </w:t>
      </w:r>
      <w:r w:rsidR="00BC02E5" w:rsidRPr="00C838BA">
        <w:rPr>
          <w:sz w:val="28"/>
          <w:szCs w:val="28"/>
        </w:rPr>
        <w:t>Настоящее решение</w:t>
      </w:r>
      <w:r w:rsidRPr="00C838BA">
        <w:rPr>
          <w:sz w:val="28"/>
          <w:szCs w:val="28"/>
        </w:rPr>
        <w:t xml:space="preserve"> </w:t>
      </w:r>
      <w:r w:rsidR="00BC02E5" w:rsidRPr="00C838BA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BC02E5" w:rsidRPr="00C838BA">
        <w:rPr>
          <w:color w:val="000000"/>
          <w:sz w:val="28"/>
          <w:szCs w:val="28"/>
        </w:rPr>
        <w:br/>
        <w:t>в сети Интернет (www.trubrayon.ru) на странице «</w:t>
      </w:r>
      <w:proofErr w:type="spellStart"/>
      <w:r w:rsidR="00DB1291" w:rsidRPr="00C838BA">
        <w:rPr>
          <w:color w:val="000000"/>
          <w:sz w:val="28"/>
          <w:szCs w:val="28"/>
        </w:rPr>
        <w:t>Селецкое</w:t>
      </w:r>
      <w:proofErr w:type="spellEnd"/>
      <w:r w:rsidR="00BC02E5" w:rsidRPr="00C838BA">
        <w:rPr>
          <w:color w:val="000000"/>
          <w:sz w:val="28"/>
          <w:szCs w:val="28"/>
        </w:rPr>
        <w:t xml:space="preserve"> сельское поселение».</w:t>
      </w:r>
      <w:r w:rsidR="00C838BA" w:rsidRPr="00C838BA">
        <w:rPr>
          <w:color w:val="000000"/>
          <w:sz w:val="28"/>
          <w:szCs w:val="28"/>
        </w:rPr>
        <w:br/>
        <w:t xml:space="preserve">          </w:t>
      </w:r>
      <w:r w:rsidRPr="00C838BA">
        <w:rPr>
          <w:sz w:val="28"/>
          <w:szCs w:val="28"/>
        </w:rPr>
        <w:t>3</w:t>
      </w:r>
      <w:r w:rsidR="005D49BF" w:rsidRPr="00C838BA">
        <w:rPr>
          <w:sz w:val="28"/>
          <w:szCs w:val="28"/>
        </w:rPr>
        <w:t xml:space="preserve">. </w:t>
      </w:r>
      <w:r w:rsidR="00BC02E5" w:rsidRPr="00C838B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54525E" w:rsidRPr="00C838BA">
        <w:rPr>
          <w:sz w:val="28"/>
          <w:szCs w:val="28"/>
        </w:rPr>
        <w:t>.</w:t>
      </w:r>
      <w:r w:rsidR="00C838BA" w:rsidRPr="00C838BA">
        <w:rPr>
          <w:color w:val="000000"/>
          <w:sz w:val="28"/>
          <w:szCs w:val="28"/>
        </w:rPr>
        <w:br/>
        <w:t xml:space="preserve">          </w:t>
      </w:r>
      <w:r w:rsidRPr="00C838BA">
        <w:rPr>
          <w:sz w:val="28"/>
          <w:szCs w:val="28"/>
        </w:rPr>
        <w:t>4</w:t>
      </w:r>
      <w:r w:rsidR="005D49BF" w:rsidRPr="00C838BA">
        <w:rPr>
          <w:sz w:val="28"/>
          <w:szCs w:val="28"/>
        </w:rPr>
        <w:t xml:space="preserve">. </w:t>
      </w:r>
      <w:r w:rsidR="0054525E" w:rsidRPr="00C838BA">
        <w:rPr>
          <w:sz w:val="28"/>
          <w:szCs w:val="28"/>
        </w:rPr>
        <w:t>Контроль за исполнением насто</w:t>
      </w:r>
      <w:r w:rsidR="000B5619" w:rsidRPr="00C838BA">
        <w:rPr>
          <w:sz w:val="28"/>
          <w:szCs w:val="28"/>
        </w:rPr>
        <w:t xml:space="preserve">ящего </w:t>
      </w:r>
      <w:r w:rsidR="00BC02E5" w:rsidRPr="00C838BA">
        <w:rPr>
          <w:sz w:val="28"/>
          <w:szCs w:val="28"/>
        </w:rPr>
        <w:t>решения</w:t>
      </w:r>
      <w:r w:rsidRPr="00C838BA">
        <w:rPr>
          <w:sz w:val="28"/>
          <w:szCs w:val="28"/>
        </w:rPr>
        <w:t xml:space="preserve"> </w:t>
      </w:r>
      <w:r w:rsidR="001905AF" w:rsidRPr="00C838BA">
        <w:rPr>
          <w:sz w:val="28"/>
          <w:szCs w:val="28"/>
        </w:rPr>
        <w:t xml:space="preserve">возложить на постоянную комиссию </w:t>
      </w:r>
      <w:r w:rsidR="004A2822" w:rsidRPr="00C838BA">
        <w:rPr>
          <w:sz w:val="28"/>
          <w:szCs w:val="28"/>
        </w:rPr>
        <w:t>по бюджету, экономике, налоговой политике, образованию, здравоохранению, культуры и молодежной политике</w:t>
      </w:r>
      <w:r w:rsidR="001905AF" w:rsidRPr="00C838BA">
        <w:rPr>
          <w:sz w:val="28"/>
          <w:szCs w:val="28"/>
        </w:rPr>
        <w:t>.</w:t>
      </w:r>
    </w:p>
    <w:p w14:paraId="366D9D14" w14:textId="77777777" w:rsidR="00233FE1" w:rsidRDefault="00233FE1" w:rsidP="000318C5">
      <w:pPr>
        <w:autoSpaceDE w:val="0"/>
        <w:rPr>
          <w:sz w:val="28"/>
          <w:szCs w:val="28"/>
        </w:rPr>
      </w:pPr>
    </w:p>
    <w:p w14:paraId="208AFD59" w14:textId="0EA80EE4" w:rsidR="000318C5" w:rsidRPr="00DB1291" w:rsidRDefault="00D9211A" w:rsidP="000318C5">
      <w:pPr>
        <w:autoSpaceDE w:val="0"/>
        <w:rPr>
          <w:sz w:val="28"/>
          <w:szCs w:val="28"/>
        </w:rPr>
      </w:pPr>
      <w:r w:rsidRPr="00DB1291">
        <w:rPr>
          <w:sz w:val="28"/>
          <w:szCs w:val="28"/>
        </w:rPr>
        <w:t xml:space="preserve">Глава </w:t>
      </w:r>
      <w:proofErr w:type="spellStart"/>
      <w:r w:rsidR="00DB1291" w:rsidRPr="00DB1291">
        <w:rPr>
          <w:sz w:val="28"/>
          <w:szCs w:val="28"/>
        </w:rPr>
        <w:t>Селецкого</w:t>
      </w:r>
      <w:proofErr w:type="spellEnd"/>
      <w:r w:rsidRPr="00DB1291">
        <w:rPr>
          <w:sz w:val="28"/>
          <w:szCs w:val="28"/>
        </w:rPr>
        <w:t xml:space="preserve"> сельского поселения                              </w:t>
      </w:r>
      <w:proofErr w:type="spellStart"/>
      <w:r w:rsidRPr="00DB1291">
        <w:rPr>
          <w:sz w:val="28"/>
          <w:szCs w:val="28"/>
        </w:rPr>
        <w:t>В.</w:t>
      </w:r>
      <w:r w:rsidR="00DB1291" w:rsidRPr="00DB1291">
        <w:rPr>
          <w:sz w:val="28"/>
          <w:szCs w:val="28"/>
        </w:rPr>
        <w:t>П.Кондратюкин</w:t>
      </w:r>
      <w:proofErr w:type="spellEnd"/>
    </w:p>
    <w:sectPr w:rsidR="000318C5" w:rsidRPr="00DB1291" w:rsidSect="00163F55">
      <w:headerReference w:type="default" r:id="rId8"/>
      <w:pgSz w:w="12240" w:h="15840" w:code="1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B7F0" w14:textId="77777777" w:rsidR="0019071F" w:rsidRDefault="0019071F" w:rsidP="006F0588">
      <w:r>
        <w:separator/>
      </w:r>
    </w:p>
  </w:endnote>
  <w:endnote w:type="continuationSeparator" w:id="0">
    <w:p w14:paraId="375A35B5" w14:textId="77777777" w:rsidR="0019071F" w:rsidRDefault="0019071F" w:rsidP="006F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22991" w14:textId="77777777" w:rsidR="0019071F" w:rsidRDefault="0019071F" w:rsidP="006F0588">
      <w:r>
        <w:separator/>
      </w:r>
    </w:p>
  </w:footnote>
  <w:footnote w:type="continuationSeparator" w:id="0">
    <w:p w14:paraId="348190B2" w14:textId="77777777" w:rsidR="0019071F" w:rsidRDefault="0019071F" w:rsidP="006F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510209"/>
      <w:docPartObj>
        <w:docPartGallery w:val="Page Numbers (Top of Page)"/>
        <w:docPartUnique/>
      </w:docPartObj>
    </w:sdtPr>
    <w:sdtContent>
      <w:p w14:paraId="6AF97771" w14:textId="77777777" w:rsidR="00EC0C0F" w:rsidRDefault="00D14797" w:rsidP="004A2822">
        <w:pPr>
          <w:pStyle w:val="a5"/>
          <w:jc w:val="center"/>
        </w:pPr>
        <w:r>
          <w:fldChar w:fldCharType="begin"/>
        </w:r>
        <w:r w:rsidR="003574D4">
          <w:instrText>PAGE   \* MERGEFORMAT</w:instrText>
        </w:r>
        <w:r>
          <w:fldChar w:fldCharType="separate"/>
        </w:r>
        <w:r w:rsidR="00260E0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F11D8"/>
    <w:multiLevelType w:val="hybridMultilevel"/>
    <w:tmpl w:val="5E00873E"/>
    <w:lvl w:ilvl="0" w:tplc="C5A852F8">
      <w:start w:val="1"/>
      <w:numFmt w:val="decimal"/>
      <w:lvlText w:val="%1."/>
      <w:lvlJc w:val="left"/>
      <w:pPr>
        <w:ind w:left="1666" w:hanging="284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66820DE0">
      <w:numFmt w:val="bullet"/>
      <w:lvlText w:val="•"/>
      <w:lvlJc w:val="left"/>
      <w:pPr>
        <w:ind w:left="2480" w:hanging="284"/>
      </w:pPr>
      <w:rPr>
        <w:rFonts w:hint="default"/>
        <w:lang w:val="ru-RU" w:eastAsia="en-US" w:bidi="ar-SA"/>
      </w:rPr>
    </w:lvl>
    <w:lvl w:ilvl="2" w:tplc="C6704D3A"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3" w:tplc="12721C26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4" w:tplc="39CE0FE0">
      <w:numFmt w:val="bullet"/>
      <w:lvlText w:val="•"/>
      <w:lvlJc w:val="left"/>
      <w:pPr>
        <w:ind w:left="4940" w:hanging="284"/>
      </w:pPr>
      <w:rPr>
        <w:rFonts w:hint="default"/>
        <w:lang w:val="ru-RU" w:eastAsia="en-US" w:bidi="ar-SA"/>
      </w:rPr>
    </w:lvl>
    <w:lvl w:ilvl="5" w:tplc="4C9A1D48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6" w:tplc="C77C539A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CB64402A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F5A8E8E2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9080D81"/>
    <w:multiLevelType w:val="multilevel"/>
    <w:tmpl w:val="5246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C4B7E"/>
    <w:multiLevelType w:val="hybridMultilevel"/>
    <w:tmpl w:val="F8FA5B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4877"/>
    <w:multiLevelType w:val="hybridMultilevel"/>
    <w:tmpl w:val="7116E6B8"/>
    <w:lvl w:ilvl="0" w:tplc="C210546A">
      <w:numFmt w:val="bullet"/>
      <w:lvlText w:val="-"/>
      <w:lvlJc w:val="left"/>
      <w:pPr>
        <w:ind w:left="62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9823428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2" w:tplc="6DF48AEC">
      <w:numFmt w:val="bullet"/>
      <w:lvlText w:val="•"/>
      <w:lvlJc w:val="left"/>
      <w:pPr>
        <w:ind w:left="2524" w:hanging="233"/>
      </w:pPr>
      <w:rPr>
        <w:rFonts w:hint="default"/>
        <w:lang w:val="ru-RU" w:eastAsia="en-US" w:bidi="ar-SA"/>
      </w:rPr>
    </w:lvl>
    <w:lvl w:ilvl="3" w:tplc="22E40E0C">
      <w:numFmt w:val="bullet"/>
      <w:lvlText w:val="•"/>
      <w:lvlJc w:val="left"/>
      <w:pPr>
        <w:ind w:left="3476" w:hanging="233"/>
      </w:pPr>
      <w:rPr>
        <w:rFonts w:hint="default"/>
        <w:lang w:val="ru-RU" w:eastAsia="en-US" w:bidi="ar-SA"/>
      </w:rPr>
    </w:lvl>
    <w:lvl w:ilvl="4" w:tplc="4E1E47BA">
      <w:numFmt w:val="bullet"/>
      <w:lvlText w:val="•"/>
      <w:lvlJc w:val="left"/>
      <w:pPr>
        <w:ind w:left="4428" w:hanging="233"/>
      </w:pPr>
      <w:rPr>
        <w:rFonts w:hint="default"/>
        <w:lang w:val="ru-RU" w:eastAsia="en-US" w:bidi="ar-SA"/>
      </w:rPr>
    </w:lvl>
    <w:lvl w:ilvl="5" w:tplc="2C4E1BF6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6" w:tplc="0F34B56C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7" w:tplc="96DAC87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06C29CF2">
      <w:numFmt w:val="bullet"/>
      <w:lvlText w:val="•"/>
      <w:lvlJc w:val="left"/>
      <w:pPr>
        <w:ind w:left="8236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64137D89"/>
    <w:multiLevelType w:val="hybridMultilevel"/>
    <w:tmpl w:val="F0B844EA"/>
    <w:lvl w:ilvl="0" w:tplc="23FE52E8">
      <w:start w:val="1"/>
      <w:numFmt w:val="decimal"/>
      <w:lvlText w:val="%1)"/>
      <w:lvlJc w:val="left"/>
      <w:pPr>
        <w:ind w:left="660" w:hanging="33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556F192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329A8518">
      <w:numFmt w:val="bullet"/>
      <w:lvlText w:val="•"/>
      <w:lvlJc w:val="left"/>
      <w:pPr>
        <w:ind w:left="2500" w:hanging="339"/>
      </w:pPr>
      <w:rPr>
        <w:rFonts w:hint="default"/>
        <w:lang w:val="ru-RU" w:eastAsia="en-US" w:bidi="ar-SA"/>
      </w:rPr>
    </w:lvl>
    <w:lvl w:ilvl="3" w:tplc="55E816CA">
      <w:numFmt w:val="bullet"/>
      <w:lvlText w:val="•"/>
      <w:lvlJc w:val="left"/>
      <w:pPr>
        <w:ind w:left="3420" w:hanging="339"/>
      </w:pPr>
      <w:rPr>
        <w:rFonts w:hint="default"/>
        <w:lang w:val="ru-RU" w:eastAsia="en-US" w:bidi="ar-SA"/>
      </w:rPr>
    </w:lvl>
    <w:lvl w:ilvl="4" w:tplc="934072DC">
      <w:numFmt w:val="bullet"/>
      <w:lvlText w:val="•"/>
      <w:lvlJc w:val="left"/>
      <w:pPr>
        <w:ind w:left="4340" w:hanging="339"/>
      </w:pPr>
      <w:rPr>
        <w:rFonts w:hint="default"/>
        <w:lang w:val="ru-RU" w:eastAsia="en-US" w:bidi="ar-SA"/>
      </w:rPr>
    </w:lvl>
    <w:lvl w:ilvl="5" w:tplc="D17C3552">
      <w:numFmt w:val="bullet"/>
      <w:lvlText w:val="•"/>
      <w:lvlJc w:val="left"/>
      <w:pPr>
        <w:ind w:left="5260" w:hanging="339"/>
      </w:pPr>
      <w:rPr>
        <w:rFonts w:hint="default"/>
        <w:lang w:val="ru-RU" w:eastAsia="en-US" w:bidi="ar-SA"/>
      </w:rPr>
    </w:lvl>
    <w:lvl w:ilvl="6" w:tplc="F89E5880">
      <w:numFmt w:val="bullet"/>
      <w:lvlText w:val="•"/>
      <w:lvlJc w:val="left"/>
      <w:pPr>
        <w:ind w:left="6180" w:hanging="339"/>
      </w:pPr>
      <w:rPr>
        <w:rFonts w:hint="default"/>
        <w:lang w:val="ru-RU" w:eastAsia="en-US" w:bidi="ar-SA"/>
      </w:rPr>
    </w:lvl>
    <w:lvl w:ilvl="7" w:tplc="79123B92">
      <w:numFmt w:val="bullet"/>
      <w:lvlText w:val="•"/>
      <w:lvlJc w:val="left"/>
      <w:pPr>
        <w:ind w:left="7100" w:hanging="339"/>
      </w:pPr>
      <w:rPr>
        <w:rFonts w:hint="default"/>
        <w:lang w:val="ru-RU" w:eastAsia="en-US" w:bidi="ar-SA"/>
      </w:rPr>
    </w:lvl>
    <w:lvl w:ilvl="8" w:tplc="D0C6B864">
      <w:numFmt w:val="bullet"/>
      <w:lvlText w:val="•"/>
      <w:lvlJc w:val="left"/>
      <w:pPr>
        <w:ind w:left="8020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72882AEE"/>
    <w:multiLevelType w:val="multilevel"/>
    <w:tmpl w:val="53FC7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5353C"/>
    <w:multiLevelType w:val="hybridMultilevel"/>
    <w:tmpl w:val="3B606204"/>
    <w:lvl w:ilvl="0" w:tplc="DC6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CA7A96"/>
    <w:multiLevelType w:val="hybridMultilevel"/>
    <w:tmpl w:val="2710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82565">
    <w:abstractNumId w:val="6"/>
  </w:num>
  <w:num w:numId="2" w16cid:durableId="1385058173">
    <w:abstractNumId w:val="1"/>
  </w:num>
  <w:num w:numId="3" w16cid:durableId="269826205">
    <w:abstractNumId w:val="5"/>
  </w:num>
  <w:num w:numId="4" w16cid:durableId="1083798910">
    <w:abstractNumId w:val="7"/>
  </w:num>
  <w:num w:numId="5" w16cid:durableId="2059428487">
    <w:abstractNumId w:val="2"/>
  </w:num>
  <w:num w:numId="6" w16cid:durableId="126121638">
    <w:abstractNumId w:val="3"/>
  </w:num>
  <w:num w:numId="7" w16cid:durableId="1969965467">
    <w:abstractNumId w:val="4"/>
  </w:num>
  <w:num w:numId="8" w16cid:durableId="134042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E0"/>
    <w:rsid w:val="000318C5"/>
    <w:rsid w:val="00055B0C"/>
    <w:rsid w:val="0005617E"/>
    <w:rsid w:val="000613ED"/>
    <w:rsid w:val="000A0BA9"/>
    <w:rsid w:val="000B5619"/>
    <w:rsid w:val="000D4744"/>
    <w:rsid w:val="000F6A2D"/>
    <w:rsid w:val="0010547B"/>
    <w:rsid w:val="0012012A"/>
    <w:rsid w:val="00123ED7"/>
    <w:rsid w:val="001326D8"/>
    <w:rsid w:val="00163F55"/>
    <w:rsid w:val="00166C29"/>
    <w:rsid w:val="00182C05"/>
    <w:rsid w:val="001905AF"/>
    <w:rsid w:val="0019071F"/>
    <w:rsid w:val="001D24EB"/>
    <w:rsid w:val="001D369B"/>
    <w:rsid w:val="00212D5B"/>
    <w:rsid w:val="00233FE1"/>
    <w:rsid w:val="00241E98"/>
    <w:rsid w:val="00260E06"/>
    <w:rsid w:val="00282764"/>
    <w:rsid w:val="00290930"/>
    <w:rsid w:val="002C14DA"/>
    <w:rsid w:val="002F073F"/>
    <w:rsid w:val="0031189D"/>
    <w:rsid w:val="003574D4"/>
    <w:rsid w:val="003B09B4"/>
    <w:rsid w:val="003C487D"/>
    <w:rsid w:val="003D193F"/>
    <w:rsid w:val="003D2D41"/>
    <w:rsid w:val="00455AFA"/>
    <w:rsid w:val="00465FEC"/>
    <w:rsid w:val="0047029E"/>
    <w:rsid w:val="004927EC"/>
    <w:rsid w:val="004A2822"/>
    <w:rsid w:val="004A6CBB"/>
    <w:rsid w:val="004C58E3"/>
    <w:rsid w:val="00503F6D"/>
    <w:rsid w:val="0051364F"/>
    <w:rsid w:val="00517EA1"/>
    <w:rsid w:val="0053537A"/>
    <w:rsid w:val="0054525E"/>
    <w:rsid w:val="0055169D"/>
    <w:rsid w:val="00590249"/>
    <w:rsid w:val="005D49BF"/>
    <w:rsid w:val="006154D5"/>
    <w:rsid w:val="00620A26"/>
    <w:rsid w:val="0063145B"/>
    <w:rsid w:val="00663B58"/>
    <w:rsid w:val="006759E3"/>
    <w:rsid w:val="0069785F"/>
    <w:rsid w:val="006C4ABE"/>
    <w:rsid w:val="006F0588"/>
    <w:rsid w:val="00711C6F"/>
    <w:rsid w:val="00725F9F"/>
    <w:rsid w:val="0076204F"/>
    <w:rsid w:val="00767AFD"/>
    <w:rsid w:val="007A06D8"/>
    <w:rsid w:val="007E1017"/>
    <w:rsid w:val="00825A59"/>
    <w:rsid w:val="008414FD"/>
    <w:rsid w:val="008B2F8B"/>
    <w:rsid w:val="008C0788"/>
    <w:rsid w:val="00903143"/>
    <w:rsid w:val="009228CB"/>
    <w:rsid w:val="009265BD"/>
    <w:rsid w:val="0095574A"/>
    <w:rsid w:val="00955C98"/>
    <w:rsid w:val="0099027D"/>
    <w:rsid w:val="009946A1"/>
    <w:rsid w:val="009B1D4F"/>
    <w:rsid w:val="009C72C3"/>
    <w:rsid w:val="009F5643"/>
    <w:rsid w:val="00A07AB9"/>
    <w:rsid w:val="00A200E8"/>
    <w:rsid w:val="00A33C22"/>
    <w:rsid w:val="00A37727"/>
    <w:rsid w:val="00A826F4"/>
    <w:rsid w:val="00AC480E"/>
    <w:rsid w:val="00AE23A3"/>
    <w:rsid w:val="00B6060B"/>
    <w:rsid w:val="00B77809"/>
    <w:rsid w:val="00BA2387"/>
    <w:rsid w:val="00BB121F"/>
    <w:rsid w:val="00BC02E5"/>
    <w:rsid w:val="00BD2FD5"/>
    <w:rsid w:val="00BD5F5E"/>
    <w:rsid w:val="00C10A47"/>
    <w:rsid w:val="00C50AEA"/>
    <w:rsid w:val="00C838BA"/>
    <w:rsid w:val="00C84C42"/>
    <w:rsid w:val="00C96219"/>
    <w:rsid w:val="00CC0B50"/>
    <w:rsid w:val="00CD22AA"/>
    <w:rsid w:val="00D00CFA"/>
    <w:rsid w:val="00D14797"/>
    <w:rsid w:val="00D1566D"/>
    <w:rsid w:val="00D514B0"/>
    <w:rsid w:val="00D6276C"/>
    <w:rsid w:val="00D67F9E"/>
    <w:rsid w:val="00D91BFD"/>
    <w:rsid w:val="00D9211A"/>
    <w:rsid w:val="00DB1291"/>
    <w:rsid w:val="00DD51E0"/>
    <w:rsid w:val="00DE0EEC"/>
    <w:rsid w:val="00EA709B"/>
    <w:rsid w:val="00EC0C0F"/>
    <w:rsid w:val="00EF1A7B"/>
    <w:rsid w:val="00F171A0"/>
    <w:rsid w:val="00F31F4D"/>
    <w:rsid w:val="00F92A15"/>
    <w:rsid w:val="00FE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C435"/>
  <w15:docId w15:val="{24FA7B5F-36E2-4BB6-8D5E-DA75DAAE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1E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07A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0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EC0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rsid w:val="00BD2FD5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qFormat/>
    <w:rsid w:val="00C10A47"/>
    <w:pPr>
      <w:widowControl w:val="0"/>
      <w:autoSpaceDE w:val="0"/>
      <w:autoSpaceDN w:val="0"/>
    </w:pPr>
    <w:rPr>
      <w:sz w:val="29"/>
      <w:szCs w:val="29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10A47"/>
    <w:rPr>
      <w:rFonts w:ascii="Times New Roman" w:eastAsia="Times New Roman" w:hAnsi="Times New Roman" w:cs="Times New Roman"/>
      <w:sz w:val="29"/>
      <w:szCs w:val="29"/>
    </w:rPr>
  </w:style>
  <w:style w:type="paragraph" w:styleId="ac">
    <w:name w:val="No Spacing"/>
    <w:uiPriority w:val="1"/>
    <w:qFormat/>
    <w:rsid w:val="00DB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5894-A20D-43AA-98DF-BF2A1FD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2024-07-03T06:50:00Z</cp:lastPrinted>
  <dcterms:created xsi:type="dcterms:W3CDTF">2021-06-02T11:08:00Z</dcterms:created>
  <dcterms:modified xsi:type="dcterms:W3CDTF">2024-07-03T06:52:00Z</dcterms:modified>
</cp:coreProperties>
</file>