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B45E" w14:textId="77777777" w:rsidR="00181E77" w:rsidRDefault="00000000">
      <w:pPr>
        <w:pStyle w:val="a3"/>
        <w:jc w:val="left"/>
        <w:rPr>
          <w:sz w:val="20"/>
        </w:rPr>
      </w:pPr>
      <w:r>
        <w:pict w14:anchorId="3F427C8E">
          <v:line id="_x0000_s1031" style="position:absolute;z-index:15728640;mso-position-horizontal-relative:page;mso-position-vertical-relative:page" from=".25pt,677.1pt" to=".25pt,1.45pt" strokeweight=".25442mm">
            <w10:wrap anchorx="page" anchory="page"/>
          </v:line>
        </w:pict>
      </w:r>
      <w:r>
        <w:pict w14:anchorId="74B11B24">
          <v:line id="_x0000_s1030" style="position:absolute;z-index:15729152;mso-position-horizontal-relative:page;mso-position-vertical-relative:page" from="59.6pt,1.7pt" to="595.2pt,1.7pt" strokeweight=".08478mm">
            <w10:wrap anchorx="page" anchory="page"/>
          </v:line>
        </w:pict>
      </w:r>
    </w:p>
    <w:p w14:paraId="6AF72933" w14:textId="77777777" w:rsidR="00181E77" w:rsidRDefault="00181E77">
      <w:pPr>
        <w:pStyle w:val="a3"/>
        <w:jc w:val="left"/>
        <w:rPr>
          <w:sz w:val="20"/>
        </w:rPr>
      </w:pPr>
    </w:p>
    <w:p w14:paraId="26F48C6E" w14:textId="77777777" w:rsidR="00181E77" w:rsidRDefault="00181E77">
      <w:pPr>
        <w:pStyle w:val="a3"/>
        <w:spacing w:before="6"/>
        <w:jc w:val="left"/>
        <w:rPr>
          <w:sz w:val="29"/>
        </w:rPr>
      </w:pPr>
    </w:p>
    <w:p w14:paraId="0EBC1807" w14:textId="77777777" w:rsidR="00181E77" w:rsidRDefault="00FB5C25">
      <w:pPr>
        <w:spacing w:before="91"/>
        <w:ind w:left="184" w:right="227"/>
        <w:jc w:val="center"/>
        <w:rPr>
          <w:b/>
          <w:sz w:val="23"/>
        </w:rPr>
      </w:pPr>
      <w:r>
        <w:rPr>
          <w:b/>
          <w:color w:val="363636"/>
          <w:spacing w:val="-2"/>
          <w:sz w:val="23"/>
        </w:rPr>
        <w:t>Информация</w:t>
      </w:r>
    </w:p>
    <w:p w14:paraId="60F283A2" w14:textId="77777777" w:rsidR="00181E77" w:rsidRDefault="00FB5C25">
      <w:pPr>
        <w:spacing w:before="9"/>
        <w:ind w:left="204" w:right="227"/>
        <w:jc w:val="center"/>
        <w:rPr>
          <w:b/>
          <w:sz w:val="23"/>
        </w:rPr>
      </w:pPr>
      <w:r>
        <w:rPr>
          <w:b/>
          <w:color w:val="363636"/>
          <w:spacing w:val="-2"/>
          <w:w w:val="105"/>
          <w:sz w:val="23"/>
        </w:rPr>
        <w:t>о</w:t>
      </w:r>
      <w:r>
        <w:rPr>
          <w:b/>
          <w:color w:val="363636"/>
          <w:spacing w:val="-5"/>
          <w:w w:val="105"/>
          <w:sz w:val="23"/>
        </w:rPr>
        <w:t xml:space="preserve"> </w:t>
      </w:r>
      <w:r>
        <w:rPr>
          <w:b/>
          <w:color w:val="363636"/>
          <w:spacing w:val="-2"/>
          <w:w w:val="105"/>
          <w:sz w:val="23"/>
        </w:rPr>
        <w:t>результатах</w:t>
      </w:r>
      <w:r>
        <w:rPr>
          <w:b/>
          <w:color w:val="363636"/>
          <w:spacing w:val="17"/>
          <w:w w:val="105"/>
          <w:sz w:val="23"/>
        </w:rPr>
        <w:t xml:space="preserve"> </w:t>
      </w:r>
      <w:r>
        <w:rPr>
          <w:b/>
          <w:color w:val="363636"/>
          <w:spacing w:val="-2"/>
          <w:w w:val="105"/>
          <w:sz w:val="23"/>
        </w:rPr>
        <w:t>экспертно-аналитического</w:t>
      </w:r>
      <w:r>
        <w:rPr>
          <w:b/>
          <w:color w:val="363636"/>
          <w:spacing w:val="-3"/>
          <w:w w:val="105"/>
          <w:sz w:val="23"/>
        </w:rPr>
        <w:t xml:space="preserve"> </w:t>
      </w:r>
      <w:r>
        <w:rPr>
          <w:b/>
          <w:color w:val="363636"/>
          <w:spacing w:val="-2"/>
          <w:w w:val="105"/>
          <w:sz w:val="23"/>
        </w:rPr>
        <w:t>мероприятия</w:t>
      </w:r>
    </w:p>
    <w:p w14:paraId="52B0B571" w14:textId="77777777" w:rsidR="00181E77" w:rsidRDefault="00FB5C25">
      <w:pPr>
        <w:spacing w:before="10" w:line="249" w:lineRule="auto"/>
        <w:ind w:left="204" w:right="227"/>
        <w:jc w:val="center"/>
        <w:rPr>
          <w:b/>
          <w:sz w:val="23"/>
        </w:rPr>
      </w:pPr>
      <w:r>
        <w:rPr>
          <w:b/>
          <w:color w:val="363636"/>
          <w:spacing w:val="-2"/>
          <w:w w:val="105"/>
          <w:sz w:val="23"/>
        </w:rPr>
        <w:t>«Анализ осуществления администрациями</w:t>
      </w:r>
      <w:r>
        <w:rPr>
          <w:b/>
          <w:color w:val="363636"/>
          <w:spacing w:val="-14"/>
          <w:w w:val="105"/>
          <w:sz w:val="23"/>
        </w:rPr>
        <w:t xml:space="preserve"> </w:t>
      </w:r>
      <w:r>
        <w:rPr>
          <w:b/>
          <w:color w:val="363636"/>
          <w:spacing w:val="-2"/>
          <w:w w:val="105"/>
          <w:sz w:val="23"/>
        </w:rPr>
        <w:t>городских и</w:t>
      </w:r>
      <w:r>
        <w:rPr>
          <w:b/>
          <w:color w:val="363636"/>
          <w:spacing w:val="-5"/>
          <w:w w:val="105"/>
          <w:sz w:val="23"/>
        </w:rPr>
        <w:t xml:space="preserve"> </w:t>
      </w:r>
      <w:r>
        <w:rPr>
          <w:b/>
          <w:color w:val="363636"/>
          <w:spacing w:val="-2"/>
          <w:w w:val="105"/>
          <w:sz w:val="23"/>
        </w:rPr>
        <w:t xml:space="preserve">сельских поселений Трубчевского </w:t>
      </w:r>
      <w:r>
        <w:rPr>
          <w:b/>
          <w:color w:val="363636"/>
          <w:w w:val="105"/>
          <w:sz w:val="23"/>
        </w:rPr>
        <w:t>муниципального</w:t>
      </w:r>
      <w:r>
        <w:rPr>
          <w:b/>
          <w:color w:val="363636"/>
          <w:spacing w:val="-3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района полномочий администраторов доходов бюджетов в</w:t>
      </w:r>
      <w:r>
        <w:rPr>
          <w:b/>
          <w:color w:val="363636"/>
          <w:spacing w:val="-2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 xml:space="preserve">части управления дебиторской задолженностью по </w:t>
      </w:r>
      <w:r>
        <w:rPr>
          <w:b/>
          <w:color w:val="212121"/>
          <w:w w:val="105"/>
          <w:sz w:val="23"/>
        </w:rPr>
        <w:t>доходам».</w:t>
      </w:r>
    </w:p>
    <w:p w14:paraId="602D96DA" w14:textId="77777777" w:rsidR="00181E77" w:rsidRDefault="00181E77">
      <w:pPr>
        <w:pStyle w:val="a3"/>
        <w:spacing w:before="5"/>
        <w:jc w:val="left"/>
        <w:rPr>
          <w:b/>
          <w:sz w:val="22"/>
        </w:rPr>
      </w:pPr>
    </w:p>
    <w:p w14:paraId="50010B20" w14:textId="77777777" w:rsidR="00181E77" w:rsidRDefault="00FB5C25">
      <w:pPr>
        <w:pStyle w:val="a3"/>
        <w:spacing w:line="237" w:lineRule="auto"/>
        <w:ind w:left="137" w:right="150" w:firstLine="598"/>
      </w:pPr>
      <w:r>
        <w:rPr>
          <w:color w:val="212121"/>
        </w:rPr>
        <w:t>Экспертно-аналитическое мероприятие проведено в соответствии с пунктом 2.2.1. плана работы Контрольно-счетной палаты Трубчевского муниципального района на 2026 год.</w:t>
      </w:r>
    </w:p>
    <w:p w14:paraId="5314B3F9" w14:textId="77777777" w:rsidR="00181E77" w:rsidRDefault="00FB5C25">
      <w:pPr>
        <w:pStyle w:val="a3"/>
        <w:spacing w:line="274" w:lineRule="exact"/>
        <w:ind w:left="732"/>
      </w:pPr>
      <w:r>
        <w:rPr>
          <w:color w:val="212121"/>
        </w:rPr>
        <w:t>Период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проведения: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июнь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2026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года.</w:t>
      </w:r>
    </w:p>
    <w:p w14:paraId="5C494021" w14:textId="77777777" w:rsidR="00181E77" w:rsidRDefault="00FB5C25">
      <w:pPr>
        <w:pStyle w:val="a3"/>
        <w:spacing w:line="274" w:lineRule="exact"/>
        <w:ind w:left="732"/>
      </w:pPr>
      <w:r>
        <w:rPr>
          <w:color w:val="212121"/>
        </w:rPr>
        <w:t>По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результатам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экспертно-аналитического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мероприятия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установлено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следующее.</w:t>
      </w:r>
    </w:p>
    <w:p w14:paraId="012E28AE" w14:textId="77777777" w:rsidR="00181E77" w:rsidRDefault="00FB5C25">
      <w:pPr>
        <w:pStyle w:val="a3"/>
        <w:ind w:left="131" w:right="145" w:firstLine="597"/>
      </w:pPr>
      <w:r>
        <w:rPr>
          <w:color w:val="363636"/>
        </w:rPr>
        <w:t xml:space="preserve">В </w:t>
      </w:r>
      <w:r>
        <w:rPr>
          <w:color w:val="212121"/>
        </w:rPr>
        <w:t>ходе экспертно-аналитического мероприятия Контрольно-счетной палатой Трубчевского муниципального района у 8 объектов -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ГАДБ запрошены и проанализированы правовые акты, регулирующие порядок работы 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дебиторской задолженностью по доходам.</w:t>
      </w:r>
    </w:p>
    <w:p w14:paraId="62DB43E5" w14:textId="77777777" w:rsidR="00181E77" w:rsidRDefault="00FB5C25">
      <w:pPr>
        <w:pStyle w:val="a3"/>
        <w:spacing w:before="5" w:line="237" w:lineRule="auto"/>
        <w:ind w:left="132" w:right="145" w:firstLine="596"/>
      </w:pPr>
      <w:r>
        <w:rPr>
          <w:color w:val="212121"/>
        </w:rPr>
        <w:t>Согласно п.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3.2 ст.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 xml:space="preserve">160.1 Бюджетного кодекса Российской Федерации «Перечень главных администраторов доходов местного бюджета утверждается местной администрацией в соответствии с общими требованиями, установленными Правительством Российской </w:t>
      </w:r>
      <w:r>
        <w:rPr>
          <w:color w:val="363636"/>
          <w:spacing w:val="-2"/>
        </w:rPr>
        <w:t>Федерации».</w:t>
      </w:r>
    </w:p>
    <w:p w14:paraId="10C89A3D" w14:textId="77777777" w:rsidR="00181E77" w:rsidRDefault="00FB5C25">
      <w:pPr>
        <w:pStyle w:val="a3"/>
        <w:spacing w:before="15" w:line="235" w:lineRule="auto"/>
        <w:ind w:left="127" w:right="165" w:firstLine="595"/>
      </w:pPr>
      <w:r>
        <w:rPr>
          <w:color w:val="212121"/>
        </w:rPr>
        <w:t xml:space="preserve">В рамках исполнения требований п.3.2. ст. 160.1 Бюджетного кодекса Российской </w:t>
      </w:r>
      <w:r>
        <w:rPr>
          <w:color w:val="363636"/>
        </w:rPr>
        <w:t xml:space="preserve">Федерации </w:t>
      </w:r>
      <w:r>
        <w:rPr>
          <w:color w:val="212121"/>
        </w:rPr>
        <w:t>на 2024-2025гг. администрациями поселений утверждены Перечни главных администраторов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доходов.</w:t>
      </w:r>
    </w:p>
    <w:p w14:paraId="7AD1C044" w14:textId="77777777" w:rsidR="00181E77" w:rsidRDefault="00FB5C25">
      <w:pPr>
        <w:pStyle w:val="a3"/>
        <w:spacing w:before="6"/>
        <w:ind w:left="123" w:right="153" w:firstLine="661"/>
      </w:pPr>
      <w:r>
        <w:rPr>
          <w:color w:val="212121"/>
        </w:rPr>
        <w:t>Приказом Минфина России от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18.11.2022</w:t>
      </w:r>
      <w:r>
        <w:rPr>
          <w:color w:val="212121"/>
          <w:spacing w:val="-2"/>
        </w:rPr>
        <w:t xml:space="preserve"> </w:t>
      </w:r>
      <w:r>
        <w:rPr>
          <w:rFonts w:ascii="Arial" w:hAnsi="Arial"/>
          <w:color w:val="212121"/>
          <w:sz w:val="22"/>
        </w:rPr>
        <w:t>№</w:t>
      </w:r>
      <w:r>
        <w:rPr>
          <w:rFonts w:ascii="Arial" w:hAnsi="Arial"/>
          <w:color w:val="212121"/>
          <w:spacing w:val="-7"/>
          <w:sz w:val="22"/>
        </w:rPr>
        <w:t xml:space="preserve"> </w:t>
      </w:r>
      <w:r>
        <w:rPr>
          <w:color w:val="212121"/>
        </w:rPr>
        <w:t>172н «Об утверждении общих требований к регламенту реализации полномочий администратора доходов бюджета по взысканию дебиторской задолженности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платежам 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бюджет,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пеням 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штрафам по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ним» (далее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Приказ</w:t>
      </w:r>
    </w:p>
    <w:p w14:paraId="5BC9F40D" w14:textId="77777777" w:rsidR="00181E77" w:rsidRDefault="00FB5C25">
      <w:pPr>
        <w:pStyle w:val="a3"/>
        <w:spacing w:before="3"/>
        <w:ind w:left="125" w:right="171" w:hanging="17"/>
      </w:pPr>
      <w:r>
        <w:rPr>
          <w:rFonts w:ascii="Arial" w:hAnsi="Arial"/>
          <w:color w:val="212121"/>
          <w:sz w:val="22"/>
        </w:rPr>
        <w:t xml:space="preserve">№ </w:t>
      </w:r>
      <w:r>
        <w:rPr>
          <w:color w:val="212121"/>
        </w:rPr>
        <w:t>172н) - установлены требования по разработке регламента реализации полномочий администратора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доходов бюджета по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взысканию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дебиторской</w:t>
      </w:r>
      <w:r>
        <w:rPr>
          <w:color w:val="212121"/>
          <w:spacing w:val="80"/>
          <w:w w:val="150"/>
        </w:rPr>
        <w:t xml:space="preserve"> </w:t>
      </w:r>
      <w:r>
        <w:rPr>
          <w:color w:val="212121"/>
        </w:rPr>
        <w:t>задолженности</w:t>
      </w:r>
      <w:r>
        <w:rPr>
          <w:color w:val="212121"/>
          <w:spacing w:val="80"/>
          <w:w w:val="150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платежам в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бюджет,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пеням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и штрафам по ним.</w:t>
      </w:r>
    </w:p>
    <w:p w14:paraId="6DA48098" w14:textId="77777777" w:rsidR="00181E77" w:rsidRDefault="00FB5C25">
      <w:pPr>
        <w:pStyle w:val="a3"/>
        <w:spacing w:before="6" w:line="237" w:lineRule="auto"/>
        <w:ind w:left="127" w:right="171" w:firstLine="475"/>
      </w:pPr>
      <w:r>
        <w:rPr>
          <w:color w:val="212121"/>
        </w:rPr>
        <w:t>Распорядительными документами администрациями городских и сельских поселений регламентирована организация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работы с дебиторской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задолженностью.</w:t>
      </w:r>
    </w:p>
    <w:p w14:paraId="5AE63A4F" w14:textId="77777777" w:rsidR="00181E77" w:rsidRDefault="00FB5C25">
      <w:pPr>
        <w:pStyle w:val="a3"/>
        <w:spacing w:before="6" w:line="237" w:lineRule="auto"/>
        <w:ind w:left="125" w:right="184" w:firstLine="477"/>
      </w:pPr>
      <w:r>
        <w:rPr>
          <w:color w:val="212121"/>
        </w:rPr>
        <w:t>В ходе анализа представленных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документов установлено, что Регламенты, действовавшие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 2024-2025гг., приняты с нарушением срока.</w:t>
      </w:r>
    </w:p>
    <w:p w14:paraId="4D57C28A" w14:textId="77777777" w:rsidR="00181E77" w:rsidRDefault="00FB5C25">
      <w:pPr>
        <w:pStyle w:val="a3"/>
        <w:spacing w:before="4"/>
        <w:ind w:left="120" w:right="168" w:firstLine="419"/>
      </w:pPr>
      <w:r>
        <w:rPr>
          <w:color w:val="212121"/>
        </w:rPr>
        <w:t xml:space="preserve">Постановлением Правительства Российской Федерации от 06.05.2016 </w:t>
      </w:r>
      <w:r>
        <w:rPr>
          <w:rFonts w:ascii="Arial" w:hAnsi="Arial"/>
          <w:color w:val="212121"/>
          <w:sz w:val="22"/>
        </w:rPr>
        <w:t xml:space="preserve">№ </w:t>
      </w:r>
      <w:r>
        <w:rPr>
          <w:color w:val="212121"/>
        </w:rPr>
        <w:t>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- установлены требования к порядку принятия решений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о признании безнадежной к взысканию задолженности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по платежам в бюджеты.</w:t>
      </w:r>
    </w:p>
    <w:p w14:paraId="3ACEF9CE" w14:textId="77777777" w:rsidR="00181E77" w:rsidRDefault="00FB5C25">
      <w:pPr>
        <w:pStyle w:val="a3"/>
        <w:spacing w:before="6" w:line="237" w:lineRule="auto"/>
        <w:ind w:left="121" w:right="160" w:firstLine="419"/>
      </w:pPr>
      <w:r>
        <w:rPr>
          <w:color w:val="212121"/>
        </w:rPr>
        <w:t>Во исполнение данной нормы в поселениях приняты Порядки принятия решений о признании безнадежной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взысканию задолженности по платежам 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бюджет.</w:t>
      </w:r>
    </w:p>
    <w:p w14:paraId="31522D3A" w14:textId="77777777" w:rsidR="00181E77" w:rsidRDefault="00FB5C25">
      <w:pPr>
        <w:pStyle w:val="a3"/>
        <w:spacing w:before="4"/>
        <w:ind w:left="116" w:right="161" w:firstLine="425"/>
      </w:pPr>
      <w:r>
        <w:rPr>
          <w:color w:val="212121"/>
        </w:rPr>
        <w:t>Распоряжением Правительства Брянской области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26.02.2024г.</w:t>
      </w:r>
      <w:r>
        <w:rPr>
          <w:color w:val="212121"/>
          <w:spacing w:val="-12"/>
        </w:rPr>
        <w:t xml:space="preserve"> </w:t>
      </w:r>
      <w:r>
        <w:rPr>
          <w:rFonts w:ascii="Arial" w:hAnsi="Arial"/>
          <w:color w:val="212121"/>
          <w:sz w:val="22"/>
        </w:rPr>
        <w:t>№</w:t>
      </w:r>
      <w:r>
        <w:rPr>
          <w:rFonts w:ascii="Arial" w:hAnsi="Arial"/>
          <w:color w:val="212121"/>
          <w:spacing w:val="-14"/>
          <w:sz w:val="22"/>
        </w:rPr>
        <w:t xml:space="preserve"> </w:t>
      </w:r>
      <w:r>
        <w:rPr>
          <w:color w:val="212121"/>
        </w:rPr>
        <w:t>43-рп «Об утверждении плана («дорожной карты»)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по взысканию дебиторской задолженности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по платежам в областной бюджет, пеням и штрафам по ним за 2024 год» и распоряжением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Правительства Брянской области от 10.02.2025г. </w:t>
      </w:r>
      <w:r>
        <w:rPr>
          <w:rFonts w:ascii="Arial" w:hAnsi="Arial"/>
          <w:color w:val="212121"/>
          <w:sz w:val="22"/>
        </w:rPr>
        <w:t xml:space="preserve">№ </w:t>
      </w:r>
      <w:r>
        <w:rPr>
          <w:color w:val="212121"/>
        </w:rPr>
        <w:t>37-рп «Об утверждении плана («дорожной карты»)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по взысканию дебиторской задолженности по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платежам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областной бюджет, пеням 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штрафам по ним за 2025 год» рекомендовано органам местного самоуправления Брянской области разработать и утвердить аналогичные акты, содержащие план ("дорожную карту") по взысканию дебиторской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задолженности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платежам 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местные бюджеты, пеням 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штрафам по</w:t>
      </w:r>
    </w:p>
    <w:p w14:paraId="389DD84C" w14:textId="77777777" w:rsidR="00181E77" w:rsidRPr="00134447" w:rsidRDefault="00FB5C25">
      <w:pPr>
        <w:spacing w:before="44"/>
        <w:ind w:left="113"/>
        <w:rPr>
          <w:bCs/>
          <w:sz w:val="20"/>
        </w:rPr>
      </w:pPr>
      <w:r w:rsidRPr="00134447">
        <w:rPr>
          <w:bCs/>
          <w:color w:val="212121"/>
          <w:spacing w:val="-4"/>
          <w:w w:val="105"/>
          <w:sz w:val="20"/>
        </w:rPr>
        <w:t>ним.</w:t>
      </w:r>
    </w:p>
    <w:p w14:paraId="1A7FA75D" w14:textId="77777777" w:rsidR="00181E77" w:rsidRDefault="00FB5C25">
      <w:pPr>
        <w:pStyle w:val="a3"/>
        <w:spacing w:before="13"/>
        <w:ind w:left="116" w:right="165" w:firstLine="545"/>
      </w:pPr>
      <w:r>
        <w:rPr>
          <w:color w:val="212121"/>
        </w:rPr>
        <w:t>«Дорожные карты», содержащие конкретные мероприятия, учитывающие специфику деятельности 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особенности администрирования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дебиторской задолженности,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направленные на повышение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качества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дебиторской задолженностью,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утверждены в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установленный срок и представлены к анализу всеми ГАДБ поселений.</w:t>
      </w:r>
    </w:p>
    <w:p w14:paraId="2E4466C4" w14:textId="77777777" w:rsidR="00181E77" w:rsidRDefault="00FB5C25">
      <w:pPr>
        <w:pStyle w:val="a3"/>
        <w:spacing w:before="1" w:line="242" w:lineRule="auto"/>
        <w:ind w:left="232" w:right="199" w:firstLine="452"/>
      </w:pPr>
      <w:r>
        <w:rPr>
          <w:color w:val="363636"/>
        </w:rPr>
        <w:t xml:space="preserve">Контрольно-счетная </w:t>
      </w:r>
      <w:r>
        <w:rPr>
          <w:color w:val="212121"/>
        </w:rPr>
        <w:t>палата отмечает, что приказы о назначении ответственных исполнителей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по реализации плана («дорожной карты») не представлены ГАДБ поселений.</w:t>
      </w:r>
    </w:p>
    <w:p w14:paraId="112727BA" w14:textId="77777777" w:rsidR="00181E77" w:rsidRDefault="00181E77">
      <w:pPr>
        <w:spacing w:line="242" w:lineRule="auto"/>
        <w:sectPr w:rsidR="00181E77">
          <w:type w:val="continuous"/>
          <w:pgSz w:w="11910" w:h="16840"/>
          <w:pgMar w:top="20" w:right="620" w:bottom="280" w:left="1080" w:header="720" w:footer="720" w:gutter="0"/>
          <w:cols w:space="720"/>
        </w:sectPr>
      </w:pPr>
    </w:p>
    <w:p w14:paraId="262BB8BA" w14:textId="0AE2C5F7" w:rsidR="00181E77" w:rsidRDefault="00000000">
      <w:pPr>
        <w:tabs>
          <w:tab w:val="left" w:pos="1266"/>
          <w:tab w:val="left" w:pos="7400"/>
        </w:tabs>
        <w:ind w:left="-1080"/>
        <w:rPr>
          <w:sz w:val="20"/>
        </w:rPr>
      </w:pPr>
      <w:r>
        <w:rPr>
          <w:position w:val="65"/>
          <w:sz w:val="20"/>
        </w:rPr>
      </w:r>
      <w:r>
        <w:rPr>
          <w:position w:val="65"/>
          <w:sz w:val="20"/>
        </w:rPr>
        <w:pict w14:anchorId="55A0CD6E">
          <v:group id="docshapegroup1" o:spid="_x0000_s1028" style="width:253.85pt;height:.25pt;mso-position-horizontal-relative:char;mso-position-vertical-relative:line" coordsize="5077,5">
            <v:line id="_x0000_s1029" style="position:absolute" from="0,2" to="5077,2" strokeweight=".08478mm"/>
            <w10:anchorlock/>
          </v:group>
        </w:pict>
      </w:r>
      <w:r w:rsidR="00FB5C25">
        <w:rPr>
          <w:position w:val="65"/>
          <w:sz w:val="20"/>
        </w:rPr>
        <w:tab/>
      </w:r>
      <w:r>
        <w:rPr>
          <w:position w:val="65"/>
          <w:sz w:val="20"/>
        </w:rPr>
      </w:r>
      <w:r>
        <w:rPr>
          <w:position w:val="65"/>
          <w:sz w:val="20"/>
        </w:rPr>
        <w:pict w14:anchorId="392770D0">
          <v:group id="docshapegroup2" o:spid="_x0000_s1026" style="width:33.7pt;height:.25pt;mso-position-horizontal-relative:char;mso-position-vertical-relative:line" coordsize="674,5">
            <v:line id="_x0000_s1027" style="position:absolute" from="0,2" to="673,2" strokeweight=".08478mm"/>
            <w10:anchorlock/>
          </v:group>
        </w:pict>
      </w:r>
    </w:p>
    <w:p w14:paraId="765A8D36" w14:textId="77777777" w:rsidR="00181E77" w:rsidRDefault="00FB5C25">
      <w:pPr>
        <w:pStyle w:val="a3"/>
        <w:spacing w:before="129" w:line="235" w:lineRule="auto"/>
        <w:ind w:left="169" w:right="108" w:firstLine="599"/>
      </w:pPr>
      <w:r>
        <w:rPr>
          <w:color w:val="232323"/>
        </w:rPr>
        <w:t>Анализ показал, что в целом порядок учета дебиторской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задолженности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и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принципы организации работы с дебиторской задолженностью органами местного самоуправления (администрациями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поселений), осуществляющими полномочия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ГАДБ, определены.</w:t>
      </w:r>
    </w:p>
    <w:p w14:paraId="0AE84210" w14:textId="77777777" w:rsidR="00181E77" w:rsidRDefault="00FB5C25">
      <w:pPr>
        <w:pStyle w:val="a3"/>
        <w:spacing w:line="242" w:lineRule="auto"/>
        <w:ind w:left="173" w:right="118" w:firstLine="592"/>
      </w:pPr>
      <w:r>
        <w:rPr>
          <w:color w:val="232323"/>
        </w:rPr>
        <w:t>Контрольно-счетная палата отмечает, что на сайтах принятые документы в части управления дебиторской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задолженностью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по доходам размещены не в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полном объеме.</w:t>
      </w:r>
    </w:p>
    <w:p w14:paraId="0B3B1397" w14:textId="77777777" w:rsidR="00181E77" w:rsidRDefault="00FB5C25">
      <w:pPr>
        <w:pStyle w:val="a3"/>
        <w:ind w:left="170" w:right="105" w:firstLine="418"/>
      </w:pPr>
      <w:r>
        <w:rPr>
          <w:color w:val="232323"/>
        </w:rPr>
        <w:t xml:space="preserve">В ходе экспертно-аналитического мероприятия отмечено чередование положительных и отрицательных изменений объемов просроченной дебиторской задолженности бюджетов городских и сельских поселений в 2024-2025 годах. В анализируемом периоде просроченная дебиторская задолженность значится у главного администратора доходов бюджета </w:t>
      </w:r>
      <w:r>
        <w:rPr>
          <w:color w:val="444444"/>
        </w:rPr>
        <w:t xml:space="preserve">- </w:t>
      </w:r>
      <w:r>
        <w:rPr>
          <w:color w:val="232323"/>
        </w:rPr>
        <w:t>УФНС России по Брянской области.</w:t>
      </w:r>
    </w:p>
    <w:p w14:paraId="746B4F09" w14:textId="77777777" w:rsidR="00181E77" w:rsidRDefault="00FB5C25">
      <w:pPr>
        <w:pStyle w:val="a3"/>
        <w:spacing w:line="237" w:lineRule="auto"/>
        <w:ind w:left="171" w:right="115" w:firstLine="475"/>
      </w:pPr>
      <w:r>
        <w:rPr>
          <w:color w:val="232323"/>
        </w:rPr>
        <w:t>В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бюджетах городских и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 xml:space="preserve">сельских поселений просроченная дебиторская задолженность </w:t>
      </w:r>
      <w:r>
        <w:rPr>
          <w:color w:val="111111"/>
        </w:rPr>
        <w:t xml:space="preserve">по </w:t>
      </w:r>
      <w:r>
        <w:rPr>
          <w:color w:val="232323"/>
        </w:rPr>
        <w:t>администрируемым доходам (неналоговые доходы) по итогам 2024-2025 года отсутствует.</w:t>
      </w:r>
    </w:p>
    <w:p w14:paraId="53C3FB8A" w14:textId="77777777" w:rsidR="00181E77" w:rsidRDefault="00FB5C25">
      <w:pPr>
        <w:pStyle w:val="a3"/>
        <w:ind w:left="171" w:right="110" w:firstLine="537"/>
      </w:pPr>
      <w:r>
        <w:rPr>
          <w:color w:val="232323"/>
        </w:rPr>
        <w:t>В нарушение требований Инструкции о порядке составления и предоставления годовой, квартальной и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месячной отчетности об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исполнении бюджетов бюджетной системы Российской Федерации, утвержденной приказом Минфина России от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28.12.2010 №191н, при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сопоставлении данных Баланса ф. 0503130 с остатками по форме 0503169 «Сведения по дебиторской и кредиторской задолженности», установлены расхождения в общем объеме дебиторской задолженности у 4 ГАДБ поселений (</w:t>
      </w:r>
      <w:proofErr w:type="spellStart"/>
      <w:r>
        <w:rPr>
          <w:color w:val="232323"/>
        </w:rPr>
        <w:t>Белоберезковское</w:t>
      </w:r>
      <w:proofErr w:type="spellEnd"/>
      <w:r>
        <w:rPr>
          <w:color w:val="232323"/>
        </w:rPr>
        <w:t xml:space="preserve"> городское поселение, </w:t>
      </w:r>
      <w:proofErr w:type="spellStart"/>
      <w:r>
        <w:rPr>
          <w:color w:val="232323"/>
        </w:rPr>
        <w:t>Усохское</w:t>
      </w:r>
      <w:proofErr w:type="spellEnd"/>
      <w:r>
        <w:rPr>
          <w:color w:val="232323"/>
        </w:rPr>
        <w:t xml:space="preserve">, </w:t>
      </w:r>
      <w:proofErr w:type="spellStart"/>
      <w:r>
        <w:rPr>
          <w:color w:val="232323"/>
        </w:rPr>
        <w:t>Семячковское</w:t>
      </w:r>
      <w:proofErr w:type="spellEnd"/>
      <w:r>
        <w:rPr>
          <w:color w:val="232323"/>
        </w:rPr>
        <w:t>, Телецкое сельские поселения).</w:t>
      </w:r>
    </w:p>
    <w:p w14:paraId="2095ACEF" w14:textId="77777777" w:rsidR="00181E77" w:rsidRDefault="00FB5C25">
      <w:pPr>
        <w:pStyle w:val="a3"/>
        <w:spacing w:line="242" w:lineRule="auto"/>
        <w:ind w:left="169" w:right="110" w:firstLine="539"/>
      </w:pPr>
      <w:r>
        <w:rPr>
          <w:color w:val="232323"/>
        </w:rPr>
        <w:t xml:space="preserve">По итогам экспертно-аналитического мероприятия направлены отчеты о результатах данного мероприятия Прокурору Трубчевского района, Главам администраций городских и сельских поселений. Трубчевского муниципального района. Главе Трубчевского муниципального района направлена информация о результатах проведенного </w:t>
      </w:r>
      <w:proofErr w:type="spellStart"/>
      <w:r>
        <w:rPr>
          <w:color w:val="232323"/>
        </w:rPr>
        <w:t>экспертно­</w:t>
      </w:r>
      <w:proofErr w:type="spellEnd"/>
      <w:r>
        <w:rPr>
          <w:color w:val="232323"/>
        </w:rPr>
        <w:t xml:space="preserve"> аналитического мероприятия.</w:t>
      </w:r>
    </w:p>
    <w:p w14:paraId="29181176" w14:textId="77777777" w:rsidR="00181E77" w:rsidRDefault="00181E77">
      <w:pPr>
        <w:pStyle w:val="a3"/>
        <w:jc w:val="left"/>
        <w:rPr>
          <w:sz w:val="20"/>
        </w:rPr>
      </w:pPr>
    </w:p>
    <w:p w14:paraId="1B629E08" w14:textId="77777777" w:rsidR="00181E77" w:rsidRDefault="00181E77">
      <w:pPr>
        <w:pStyle w:val="a3"/>
        <w:jc w:val="left"/>
        <w:rPr>
          <w:sz w:val="20"/>
        </w:rPr>
      </w:pPr>
    </w:p>
    <w:p w14:paraId="31555B4B" w14:textId="77777777" w:rsidR="00181E77" w:rsidRDefault="00181E77">
      <w:pPr>
        <w:pStyle w:val="a3"/>
        <w:spacing w:before="3"/>
        <w:jc w:val="left"/>
        <w:rPr>
          <w:sz w:val="21"/>
        </w:rPr>
      </w:pPr>
    </w:p>
    <w:p w14:paraId="329C238A" w14:textId="77777777" w:rsidR="00181E77" w:rsidRDefault="00181E77">
      <w:pPr>
        <w:rPr>
          <w:sz w:val="21"/>
        </w:rPr>
        <w:sectPr w:rsidR="00181E77">
          <w:pgSz w:w="11910" w:h="16840"/>
          <w:pgMar w:top="0" w:right="620" w:bottom="280" w:left="1080" w:header="720" w:footer="720" w:gutter="0"/>
          <w:cols w:space="720"/>
        </w:sectPr>
      </w:pPr>
    </w:p>
    <w:p w14:paraId="2B0C3010" w14:textId="78B2C4CD" w:rsidR="00181E77" w:rsidRDefault="00FB5C25">
      <w:pPr>
        <w:pStyle w:val="a3"/>
        <w:spacing w:before="90"/>
        <w:ind w:left="290"/>
        <w:jc w:val="left"/>
      </w:pPr>
      <w:r>
        <w:rPr>
          <w:color w:val="232323"/>
          <w:spacing w:val="-2"/>
        </w:rPr>
        <w:t>Председатель</w:t>
      </w:r>
    </w:p>
    <w:p w14:paraId="0D9CA1DE" w14:textId="77777777" w:rsidR="00181E77" w:rsidRDefault="00FB5C25">
      <w:pPr>
        <w:pStyle w:val="a3"/>
        <w:spacing w:before="5" w:line="237" w:lineRule="auto"/>
        <w:ind w:left="292" w:right="2137" w:hanging="3"/>
        <w:jc w:val="left"/>
      </w:pPr>
      <w:r>
        <w:rPr>
          <w:color w:val="232323"/>
        </w:rPr>
        <w:t>Контрольно-счетной палаты Трубчевского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муниципального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района</w:t>
      </w:r>
    </w:p>
    <w:p w14:paraId="4CFA8323" w14:textId="77777777" w:rsidR="00181E77" w:rsidRDefault="00FB5C25">
      <w:pPr>
        <w:spacing w:before="9"/>
        <w:rPr>
          <w:sz w:val="30"/>
        </w:rPr>
      </w:pPr>
      <w:r>
        <w:br w:type="column"/>
      </w:r>
    </w:p>
    <w:p w14:paraId="4185A61D" w14:textId="77777777" w:rsidR="00181E77" w:rsidRDefault="00FB5C25">
      <w:pPr>
        <w:pStyle w:val="a3"/>
        <w:ind w:left="290"/>
        <w:jc w:val="left"/>
      </w:pPr>
      <w:r>
        <w:rPr>
          <w:color w:val="232323"/>
        </w:rPr>
        <w:t>С.А.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2"/>
        </w:rPr>
        <w:t>Самородова</w:t>
      </w:r>
    </w:p>
    <w:sectPr w:rsidR="00181E77">
      <w:type w:val="continuous"/>
      <w:pgSz w:w="11910" w:h="16840"/>
      <w:pgMar w:top="20" w:right="620" w:bottom="280" w:left="1080" w:header="720" w:footer="720" w:gutter="0"/>
      <w:cols w:num="2" w:space="720" w:equalWidth="0">
        <w:col w:w="6384" w:space="367"/>
        <w:col w:w="34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1E77"/>
    <w:rsid w:val="000074F5"/>
    <w:rsid w:val="00134447"/>
    <w:rsid w:val="00181E77"/>
    <w:rsid w:val="003D435A"/>
    <w:rsid w:val="005709FC"/>
    <w:rsid w:val="00646A98"/>
    <w:rsid w:val="00FB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8D4A113"/>
  <w15:docId w15:val="{5B07775B-EF92-4C4F-8936-B571044B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RAYSOVET-SG</cp:lastModifiedBy>
  <cp:revision>5</cp:revision>
  <dcterms:created xsi:type="dcterms:W3CDTF">2026-07-02T07:04:00Z</dcterms:created>
  <dcterms:modified xsi:type="dcterms:W3CDTF">2026-07-02T07:24:00Z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2026-07-02T00:00:00Z</vt:filetime>
  </property>
  <property fmtid="{D5CDD505-2E9C-101B-9397-08002B2CF9AE}" pid="3" name="LastSaved">
    <vt:filetime>2026-07-02T00:00:00Z</vt:filetime>
  </property>
  <property fmtid="{D5CDD505-2E9C-101B-9397-08002B2CF9AE}" pid="4" name="Producer">
    <vt:lpwstr>ABBYY FineReader 12</vt:lpwstr>
  </property>
</Properties>
</file>