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DD100E" w:rsidRPr="00A432D0" w:rsidRDefault="00DD100E" w:rsidP="00DD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DD100E" w:rsidRPr="00A432D0" w:rsidRDefault="00DD100E" w:rsidP="00DD100E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A432D0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DD100E" w:rsidRPr="005011BB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Pr="005011BB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B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965FA" w:rsidRPr="005011BB">
        <w:rPr>
          <w:rFonts w:ascii="Times New Roman" w:hAnsi="Times New Roman" w:cs="Times New Roman"/>
          <w:b/>
          <w:sz w:val="28"/>
          <w:szCs w:val="28"/>
        </w:rPr>
        <w:t>2</w:t>
      </w:r>
      <w:r w:rsidR="009D5830">
        <w:rPr>
          <w:rFonts w:ascii="Times New Roman" w:hAnsi="Times New Roman" w:cs="Times New Roman"/>
          <w:b/>
          <w:sz w:val="28"/>
          <w:szCs w:val="28"/>
        </w:rPr>
        <w:t>7</w:t>
      </w:r>
      <w:r w:rsidR="00DC5D8C" w:rsidRPr="00501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830">
        <w:rPr>
          <w:rFonts w:ascii="Times New Roman" w:hAnsi="Times New Roman" w:cs="Times New Roman"/>
          <w:b/>
          <w:sz w:val="28"/>
          <w:szCs w:val="28"/>
        </w:rPr>
        <w:t>ноября</w:t>
      </w:r>
      <w:r w:rsidR="00DC5D8C" w:rsidRPr="00501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830">
        <w:rPr>
          <w:rFonts w:ascii="Times New Roman" w:hAnsi="Times New Roman" w:cs="Times New Roman"/>
          <w:b/>
          <w:sz w:val="28"/>
          <w:szCs w:val="28"/>
        </w:rPr>
        <w:t>2023</w:t>
      </w:r>
      <w:r w:rsidRPr="00501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D8C" w:rsidRPr="005011BB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011B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5830">
        <w:rPr>
          <w:rFonts w:ascii="Times New Roman" w:hAnsi="Times New Roman" w:cs="Times New Roman"/>
          <w:b/>
          <w:sz w:val="28"/>
          <w:szCs w:val="28"/>
        </w:rPr>
        <w:t>71</w:t>
      </w:r>
      <w:r w:rsidR="00DC5D8C" w:rsidRPr="005011BB">
        <w:rPr>
          <w:rFonts w:ascii="Times New Roman" w:hAnsi="Times New Roman" w:cs="Times New Roman"/>
          <w:b/>
          <w:sz w:val="28"/>
          <w:szCs w:val="28"/>
        </w:rPr>
        <w:t>-п</w:t>
      </w:r>
    </w:p>
    <w:p w:rsidR="00DD100E" w:rsidRPr="005011BB" w:rsidRDefault="00DD100E" w:rsidP="00DC5D8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1677F" w:rsidRPr="009D5830" w:rsidRDefault="009D5830" w:rsidP="009D5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D5830">
        <w:rPr>
          <w:rFonts w:ascii="Times New Roman" w:hAnsi="Times New Roman" w:cs="Times New Roman"/>
          <w:b/>
          <w:sz w:val="28"/>
          <w:szCs w:val="28"/>
        </w:rPr>
        <w:t xml:space="preserve">постановление Семячковской сельской администрации Трубчевского района Брянской области от 24 января </w:t>
      </w:r>
      <w:r w:rsidR="00461312">
        <w:rPr>
          <w:rFonts w:ascii="Times New Roman" w:hAnsi="Times New Roman" w:cs="Times New Roman"/>
          <w:b/>
          <w:sz w:val="28"/>
          <w:szCs w:val="28"/>
        </w:rPr>
        <w:br/>
      </w:r>
      <w:r w:rsidRPr="009D5830">
        <w:rPr>
          <w:rFonts w:ascii="Times New Roman" w:hAnsi="Times New Roman" w:cs="Times New Roman"/>
          <w:b/>
          <w:sz w:val="28"/>
          <w:szCs w:val="28"/>
        </w:rPr>
        <w:t>2022 года № 4-п «</w:t>
      </w:r>
      <w:r w:rsidR="00DD100E" w:rsidRPr="009D5830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</w:t>
      </w:r>
      <w:r w:rsidR="00DC5D8C" w:rsidRPr="009D5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00E" w:rsidRPr="009D5830">
        <w:rPr>
          <w:rFonts w:ascii="Times New Roman" w:hAnsi="Times New Roman" w:cs="Times New Roman"/>
          <w:b/>
          <w:sz w:val="28"/>
          <w:szCs w:val="28"/>
        </w:rPr>
        <w:t>конкурсного отбора программ (проектов)</w:t>
      </w:r>
      <w:r w:rsidR="00DC5D8C" w:rsidRPr="009D5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00E" w:rsidRPr="009D5830">
        <w:rPr>
          <w:rFonts w:ascii="Times New Roman" w:hAnsi="Times New Roman" w:cs="Times New Roman"/>
          <w:b/>
          <w:sz w:val="28"/>
          <w:szCs w:val="28"/>
        </w:rPr>
        <w:t>инициативного бюджетирования на территории</w:t>
      </w:r>
      <w:r w:rsidR="00DC5D8C" w:rsidRPr="009D5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00E" w:rsidRPr="009D5830">
        <w:rPr>
          <w:rFonts w:ascii="Times New Roman" w:hAnsi="Times New Roman" w:cs="Times New Roman"/>
          <w:b/>
          <w:sz w:val="28"/>
          <w:szCs w:val="28"/>
        </w:rPr>
        <w:t>Семячковского сельского поселения</w:t>
      </w:r>
      <w:r w:rsidR="00DC5D8C" w:rsidRPr="009D5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00E" w:rsidRPr="009D5830">
        <w:rPr>
          <w:rFonts w:ascii="Times New Roman" w:hAnsi="Times New Roman" w:cs="Times New Roman"/>
          <w:b/>
          <w:sz w:val="28"/>
          <w:szCs w:val="28"/>
        </w:rPr>
        <w:t>Трубчевского муниципального района</w:t>
      </w:r>
      <w:r w:rsidR="00DC5D8C" w:rsidRPr="009D5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00E" w:rsidRPr="009D5830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="00DC5D8C" w:rsidRPr="009D5830">
        <w:rPr>
          <w:rFonts w:ascii="Times New Roman" w:hAnsi="Times New Roman" w:cs="Times New Roman"/>
          <w:b/>
          <w:sz w:val="28"/>
          <w:szCs w:val="28"/>
        </w:rPr>
        <w:t xml:space="preserve"> и С</w:t>
      </w:r>
      <w:r w:rsidR="0001677F" w:rsidRPr="009D5830">
        <w:rPr>
          <w:rFonts w:ascii="Times New Roman" w:hAnsi="Times New Roman" w:cs="Times New Roman"/>
          <w:b/>
          <w:sz w:val="28"/>
          <w:szCs w:val="28"/>
        </w:rPr>
        <w:t>остава конкурсной комиссии</w:t>
      </w:r>
      <w:r w:rsidR="00DC5D8C" w:rsidRPr="009D5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77F" w:rsidRPr="009D5830">
        <w:rPr>
          <w:rFonts w:ascii="Times New Roman" w:hAnsi="Times New Roman" w:cs="Times New Roman"/>
          <w:b/>
          <w:sz w:val="28"/>
          <w:szCs w:val="28"/>
        </w:rPr>
        <w:t xml:space="preserve">по определению победителей конкурса </w:t>
      </w:r>
      <w:r w:rsidR="00DC5D8C" w:rsidRPr="009D5830">
        <w:rPr>
          <w:rFonts w:ascii="Times New Roman" w:hAnsi="Times New Roman" w:cs="Times New Roman"/>
          <w:b/>
          <w:sz w:val="28"/>
          <w:szCs w:val="28"/>
        </w:rPr>
        <w:t>программ (проектов) инициативного бюджетирования на территории Семячковского сельского поселения Трубчевского муниципального района Брянской области</w:t>
      </w:r>
      <w:r w:rsidRPr="009D5830">
        <w:rPr>
          <w:rFonts w:ascii="Times New Roman" w:hAnsi="Times New Roman" w:cs="Times New Roman"/>
          <w:b/>
          <w:sz w:val="28"/>
          <w:szCs w:val="28"/>
        </w:rPr>
        <w:t>»</w:t>
      </w:r>
    </w:p>
    <w:p w:rsidR="00DD100E" w:rsidRPr="00917817" w:rsidRDefault="00DD100E" w:rsidP="00DC5D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100E" w:rsidRPr="00917817" w:rsidRDefault="00DD100E" w:rsidP="00473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17">
        <w:rPr>
          <w:rFonts w:ascii="Times New Roman" w:hAnsi="Times New Roman" w:cs="Times New Roman"/>
          <w:sz w:val="28"/>
          <w:szCs w:val="28"/>
        </w:rPr>
        <w:t xml:space="preserve">В </w:t>
      </w:r>
      <w:r w:rsidR="009D5830" w:rsidRPr="00917817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6" w:history="1">
        <w:r w:rsidR="009D5830" w:rsidRPr="00917817">
          <w:rPr>
            <w:rFonts w:ascii="Times New Roman" w:hAnsi="Times New Roman" w:cs="Times New Roman"/>
            <w:sz w:val="28"/>
            <w:szCs w:val="28"/>
          </w:rPr>
          <w:t>статьями 74</w:t>
        </w:r>
      </w:hyperlink>
      <w:r w:rsidR="009D5830" w:rsidRPr="0091781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9D5830" w:rsidRPr="00917817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="009D5830" w:rsidRPr="0091781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</w:t>
      </w:r>
      <w:r w:rsidR="009D5830">
        <w:rPr>
          <w:rFonts w:ascii="Times New Roman" w:hAnsi="Times New Roman" w:cs="Times New Roman"/>
          <w:sz w:val="28"/>
          <w:szCs w:val="28"/>
        </w:rPr>
        <w:t>ой Федерации, Федеральным законо</w:t>
      </w:r>
      <w:r w:rsidR="009D5830" w:rsidRPr="00917817">
        <w:rPr>
          <w:rFonts w:ascii="Times New Roman" w:hAnsi="Times New Roman" w:cs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 w:rsidR="009D5830">
        <w:rPr>
          <w:rFonts w:ascii="Times New Roman" w:hAnsi="Times New Roman" w:cs="Times New Roman"/>
          <w:sz w:val="28"/>
          <w:szCs w:val="28"/>
        </w:rPr>
        <w:t xml:space="preserve"> </w:t>
      </w:r>
      <w:r w:rsidR="009D5830">
        <w:rPr>
          <w:rFonts w:ascii="Times New Roman" w:hAnsi="Times New Roman" w:cs="Times New Roman"/>
          <w:sz w:val="28"/>
          <w:szCs w:val="28"/>
        </w:rPr>
        <w:br/>
      </w:r>
      <w:r w:rsidR="009D5830" w:rsidRPr="0091781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D5830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473225">
        <w:rPr>
          <w:rFonts w:ascii="Times New Roman" w:hAnsi="Times New Roman" w:cs="Times New Roman"/>
          <w:sz w:val="28"/>
          <w:szCs w:val="28"/>
        </w:rPr>
        <w:t>Критериев оценки</w:t>
      </w:r>
      <w:r w:rsidR="00473225" w:rsidRPr="00473225">
        <w:rPr>
          <w:rFonts w:ascii="Times New Roman" w:hAnsi="Times New Roman" w:cs="Times New Roman"/>
          <w:sz w:val="28"/>
          <w:szCs w:val="28"/>
        </w:rPr>
        <w:t xml:space="preserve"> программ (проектов) инициативного бюджетирования </w:t>
      </w:r>
      <w:r w:rsidR="00473225">
        <w:rPr>
          <w:rFonts w:ascii="Times New Roman" w:hAnsi="Times New Roman" w:cs="Times New Roman"/>
          <w:sz w:val="28"/>
          <w:szCs w:val="28"/>
        </w:rPr>
        <w:t>участников</w:t>
      </w:r>
      <w:r w:rsidR="00473225" w:rsidRPr="00917817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="00473225" w:rsidRPr="00473225">
        <w:rPr>
          <w:rFonts w:ascii="Times New Roman" w:hAnsi="Times New Roman" w:cs="Times New Roman"/>
          <w:sz w:val="28"/>
          <w:szCs w:val="28"/>
        </w:rPr>
        <w:t>на территории Семячковского сельского поселения Трубчевского муниципального района Брянской области и Состава конкурсной комиссии по определению победителей конкурса программ (проектов) инициативного бюджетирования на территории Семячковского сельского поселения Трубчевского муниципального района Брянской област</w:t>
      </w:r>
      <w:r w:rsidR="00473225">
        <w:rPr>
          <w:rFonts w:ascii="Times New Roman" w:hAnsi="Times New Roman" w:cs="Times New Roman"/>
          <w:sz w:val="28"/>
          <w:szCs w:val="28"/>
        </w:rPr>
        <w:t xml:space="preserve">и в соответствие с действующим законодательством </w:t>
      </w:r>
      <w:r w:rsidR="009D5830">
        <w:rPr>
          <w:rFonts w:ascii="Times New Roman" w:hAnsi="Times New Roman" w:cs="Times New Roman"/>
          <w:sz w:val="28"/>
          <w:szCs w:val="28"/>
        </w:rPr>
        <w:t>Семячковская сельская администрация</w:t>
      </w:r>
      <w:r w:rsidR="009D5830" w:rsidRPr="00917817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</w:t>
      </w:r>
    </w:p>
    <w:p w:rsidR="00DD100E" w:rsidRPr="00DC5D8C" w:rsidRDefault="00DC5D8C" w:rsidP="00DD100E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D100E" w:rsidRPr="00DC5D8C">
        <w:rPr>
          <w:sz w:val="28"/>
          <w:szCs w:val="28"/>
        </w:rPr>
        <w:t>:</w:t>
      </w:r>
    </w:p>
    <w:p w:rsidR="00DD100E" w:rsidRPr="00DC5D8C" w:rsidRDefault="00DD100E" w:rsidP="00B5496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17">
        <w:rPr>
          <w:rFonts w:ascii="Times New Roman" w:hAnsi="Times New Roman" w:cs="Times New Roman"/>
          <w:sz w:val="28"/>
          <w:szCs w:val="28"/>
        </w:rPr>
        <w:t xml:space="preserve">1. </w:t>
      </w:r>
      <w:r w:rsidR="00473225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917817">
        <w:rPr>
          <w:rFonts w:ascii="Times New Roman" w:hAnsi="Times New Roman" w:cs="Times New Roman"/>
          <w:sz w:val="28"/>
          <w:szCs w:val="28"/>
        </w:rPr>
        <w:t xml:space="preserve"> </w:t>
      </w:r>
      <w:r w:rsidR="00473225">
        <w:rPr>
          <w:rFonts w:ascii="Times New Roman" w:hAnsi="Times New Roman" w:cs="Times New Roman"/>
          <w:sz w:val="28"/>
          <w:szCs w:val="28"/>
        </w:rPr>
        <w:t>Критерии оценки</w:t>
      </w:r>
      <w:r w:rsidR="00473225" w:rsidRPr="00473225">
        <w:rPr>
          <w:rFonts w:ascii="Times New Roman" w:hAnsi="Times New Roman" w:cs="Times New Roman"/>
          <w:sz w:val="28"/>
          <w:szCs w:val="28"/>
        </w:rPr>
        <w:t xml:space="preserve"> программ (проектов) инициативного бюджетирования </w:t>
      </w:r>
      <w:r w:rsidR="00473225">
        <w:rPr>
          <w:rFonts w:ascii="Times New Roman" w:hAnsi="Times New Roman" w:cs="Times New Roman"/>
          <w:sz w:val="28"/>
          <w:szCs w:val="28"/>
        </w:rPr>
        <w:t>участников</w:t>
      </w:r>
      <w:r w:rsidR="00473225" w:rsidRPr="00917817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="00473225" w:rsidRPr="00473225">
        <w:rPr>
          <w:rFonts w:ascii="Times New Roman" w:hAnsi="Times New Roman" w:cs="Times New Roman"/>
          <w:sz w:val="28"/>
          <w:szCs w:val="28"/>
        </w:rPr>
        <w:t>на территории Семячковского сельского поселения Трубчевского муниципального района Брянской области</w:t>
      </w:r>
      <w:r w:rsidR="00B54967">
        <w:rPr>
          <w:rFonts w:ascii="Times New Roman" w:hAnsi="Times New Roman" w:cs="Times New Roman"/>
          <w:sz w:val="28"/>
          <w:szCs w:val="28"/>
        </w:rPr>
        <w:t>, изложив их в редакции</w:t>
      </w:r>
      <w:r w:rsidR="00473225" w:rsidRPr="00473225">
        <w:rPr>
          <w:rFonts w:ascii="Times New Roman" w:hAnsi="Times New Roman" w:cs="Times New Roman"/>
          <w:sz w:val="28"/>
          <w:szCs w:val="28"/>
        </w:rPr>
        <w:t xml:space="preserve"> </w:t>
      </w:r>
      <w:r w:rsidRPr="00DC5D8C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к настоящему </w:t>
      </w:r>
      <w:r w:rsidR="0001677F" w:rsidRPr="00DC5D8C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DC5D8C">
        <w:rPr>
          <w:rFonts w:ascii="Times New Roman" w:hAnsi="Times New Roman" w:cs="Times New Roman"/>
          <w:bCs/>
          <w:sz w:val="28"/>
          <w:szCs w:val="28"/>
        </w:rPr>
        <w:t>.</w:t>
      </w:r>
    </w:p>
    <w:p w:rsidR="00DC5D8C" w:rsidRPr="00DC5D8C" w:rsidRDefault="00DD100E" w:rsidP="00B54967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D8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73225">
        <w:rPr>
          <w:rFonts w:ascii="Times New Roman" w:hAnsi="Times New Roman" w:cs="Times New Roman"/>
          <w:b w:val="0"/>
          <w:sz w:val="28"/>
          <w:szCs w:val="28"/>
        </w:rPr>
        <w:t>Внести изменения в Состав</w:t>
      </w:r>
      <w:r w:rsidR="00DC5D8C" w:rsidRPr="00DC5D8C">
        <w:rPr>
          <w:rFonts w:ascii="Times New Roman" w:hAnsi="Times New Roman" w:cs="Times New Roman"/>
          <w:b w:val="0"/>
          <w:sz w:val="28"/>
          <w:szCs w:val="28"/>
        </w:rPr>
        <w:t xml:space="preserve"> конкурсной комиссии по определению победителей конкурса программ (проектов) инициативного бюджетирования на территории Семячковского сельского поселения Трубчевского муниципального района Брянской области</w:t>
      </w:r>
      <w:r w:rsidR="00473225">
        <w:rPr>
          <w:rFonts w:ascii="Times New Roman" w:hAnsi="Times New Roman" w:cs="Times New Roman"/>
          <w:b w:val="0"/>
          <w:sz w:val="28"/>
          <w:szCs w:val="28"/>
        </w:rPr>
        <w:t xml:space="preserve">, исключив из нее </w:t>
      </w:r>
      <w:r w:rsidR="00473225" w:rsidRPr="00473225">
        <w:rPr>
          <w:rFonts w:ascii="Times New Roman" w:hAnsi="Times New Roman" w:cs="Times New Roman"/>
          <w:b w:val="0"/>
          <w:sz w:val="28"/>
          <w:szCs w:val="28"/>
        </w:rPr>
        <w:t>депутат</w:t>
      </w:r>
      <w:r w:rsidR="00B54967">
        <w:rPr>
          <w:rFonts w:ascii="Times New Roman" w:hAnsi="Times New Roman" w:cs="Times New Roman"/>
          <w:b w:val="0"/>
          <w:sz w:val="28"/>
          <w:szCs w:val="28"/>
        </w:rPr>
        <w:t>а</w:t>
      </w:r>
      <w:r w:rsidR="00473225" w:rsidRPr="00473225">
        <w:rPr>
          <w:rFonts w:ascii="Times New Roman" w:hAnsi="Times New Roman" w:cs="Times New Roman"/>
          <w:b w:val="0"/>
          <w:sz w:val="28"/>
          <w:szCs w:val="28"/>
        </w:rPr>
        <w:t xml:space="preserve"> Семячковского сельского Совета народных депутатов Демьянов</w:t>
      </w:r>
      <w:r w:rsidR="00B54967">
        <w:rPr>
          <w:rFonts w:ascii="Times New Roman" w:hAnsi="Times New Roman" w:cs="Times New Roman"/>
          <w:b w:val="0"/>
          <w:sz w:val="28"/>
          <w:szCs w:val="28"/>
        </w:rPr>
        <w:t>а</w:t>
      </w:r>
      <w:r w:rsidR="00473225" w:rsidRPr="00473225">
        <w:rPr>
          <w:rFonts w:ascii="Times New Roman" w:hAnsi="Times New Roman" w:cs="Times New Roman"/>
          <w:b w:val="0"/>
          <w:sz w:val="28"/>
          <w:szCs w:val="28"/>
        </w:rPr>
        <w:t xml:space="preserve"> Александр</w:t>
      </w:r>
      <w:r w:rsidR="00B54967">
        <w:rPr>
          <w:rFonts w:ascii="Times New Roman" w:hAnsi="Times New Roman" w:cs="Times New Roman"/>
          <w:b w:val="0"/>
          <w:sz w:val="28"/>
          <w:szCs w:val="28"/>
        </w:rPr>
        <w:t>а</w:t>
      </w:r>
      <w:r w:rsidR="00473225" w:rsidRPr="00473225">
        <w:rPr>
          <w:rFonts w:ascii="Times New Roman" w:hAnsi="Times New Roman" w:cs="Times New Roman"/>
          <w:b w:val="0"/>
          <w:sz w:val="28"/>
          <w:szCs w:val="28"/>
        </w:rPr>
        <w:t xml:space="preserve"> Николаевич</w:t>
      </w:r>
      <w:r w:rsidR="00B54967">
        <w:rPr>
          <w:rFonts w:ascii="Times New Roman" w:hAnsi="Times New Roman" w:cs="Times New Roman"/>
          <w:b w:val="0"/>
          <w:sz w:val="28"/>
          <w:szCs w:val="28"/>
        </w:rPr>
        <w:t>а</w:t>
      </w:r>
      <w:r w:rsidR="004732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4967" w:rsidRPr="0005444A" w:rsidRDefault="00DC5D8C" w:rsidP="00B5496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17817">
        <w:rPr>
          <w:rFonts w:ascii="Times New Roman" w:hAnsi="Times New Roman" w:cs="Times New Roman"/>
          <w:sz w:val="28"/>
          <w:szCs w:val="28"/>
        </w:rPr>
        <w:t xml:space="preserve">3. </w:t>
      </w:r>
      <w:r w:rsidR="00B54967" w:rsidRPr="00882D0F">
        <w:rPr>
          <w:rFonts w:ascii="Times New Roman" w:hAnsi="Times New Roman"/>
          <w:sz w:val="28"/>
          <w:szCs w:val="28"/>
        </w:rPr>
        <w:t>Настоящее постановление</w:t>
      </w:r>
      <w:r w:rsidR="00B54967">
        <w:rPr>
          <w:rFonts w:ascii="Times New Roman" w:hAnsi="Times New Roman"/>
          <w:sz w:val="28"/>
          <w:szCs w:val="28"/>
        </w:rPr>
        <w:t xml:space="preserve"> </w:t>
      </w:r>
      <w:r w:rsidR="00B54967" w:rsidRPr="004D2675">
        <w:rPr>
          <w:rFonts w:ascii="Times New Roman" w:eastAsia="Times New Roman" w:hAnsi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B54967" w:rsidRPr="004D267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B54967" w:rsidRPr="004D267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сети Интернет (www.trubrayon</w:t>
      </w:r>
      <w:r w:rsidR="00B54967" w:rsidRPr="0005444A">
        <w:rPr>
          <w:rFonts w:ascii="Times New Roman" w:eastAsia="Times New Roman" w:hAnsi="Times New Roman"/>
          <w:color w:val="000000"/>
          <w:sz w:val="28"/>
          <w:szCs w:val="28"/>
        </w:rPr>
        <w:t>.ru) на странице «Семячковское сельское поселение».</w:t>
      </w:r>
    </w:p>
    <w:p w:rsidR="00B54967" w:rsidRPr="00882D0F" w:rsidRDefault="00B54967" w:rsidP="00B54967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82D0F">
        <w:rPr>
          <w:rFonts w:ascii="Times New Roman" w:hAnsi="Times New Roman"/>
          <w:sz w:val="28"/>
          <w:szCs w:val="28"/>
        </w:rPr>
        <w:t>.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D0F">
        <w:rPr>
          <w:rFonts w:ascii="Times New Roman" w:hAnsi="Times New Roman"/>
          <w:sz w:val="28"/>
          <w:szCs w:val="28"/>
        </w:rPr>
        <w:t xml:space="preserve">вступает в силу с даты его </w:t>
      </w:r>
      <w:r w:rsidRPr="004D2675">
        <w:rPr>
          <w:rFonts w:ascii="Times New Roman" w:eastAsia="Times New Roman" w:hAnsi="Times New Roman"/>
          <w:color w:val="000000"/>
          <w:sz w:val="28"/>
          <w:szCs w:val="28"/>
        </w:rPr>
        <w:t>официально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882D0F">
        <w:rPr>
          <w:rFonts w:ascii="Times New Roman" w:hAnsi="Times New Roman"/>
          <w:sz w:val="28"/>
          <w:szCs w:val="28"/>
        </w:rPr>
        <w:t>.</w:t>
      </w:r>
    </w:p>
    <w:p w:rsidR="00DD100E" w:rsidRPr="00917817" w:rsidRDefault="00DC5D8C" w:rsidP="00B54967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="00DD100E" w:rsidRPr="00917817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DD100E" w:rsidRDefault="00DD100E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67" w:rsidRPr="00917817" w:rsidRDefault="001F2367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91781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:rsidR="00B5496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:rsidR="00B54967" w:rsidRDefault="00B549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54967" w:rsidRPr="00882D0F" w:rsidRDefault="00B54967" w:rsidP="00B54967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882D0F">
        <w:rPr>
          <w:rFonts w:ascii="Times New Roman" w:hAnsi="Times New Roman"/>
          <w:sz w:val="28"/>
          <w:szCs w:val="28"/>
        </w:rPr>
        <w:br/>
        <w:t xml:space="preserve">к постановлению Семячковской сельской администрации Трубчевского района Брянской области от </w:t>
      </w:r>
      <w:r>
        <w:rPr>
          <w:rFonts w:ascii="Times New Roman" w:hAnsi="Times New Roman"/>
          <w:sz w:val="28"/>
          <w:szCs w:val="28"/>
        </w:rPr>
        <w:t>27.11.2023</w:t>
      </w:r>
      <w:r w:rsidRPr="00882D0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71-п</w:t>
      </w:r>
    </w:p>
    <w:p w:rsidR="00DD100E" w:rsidRPr="00917817" w:rsidRDefault="00DD100E" w:rsidP="00DD100E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6A2" w:rsidRPr="00917817" w:rsidRDefault="003D16A2" w:rsidP="003D16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781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20034" w:rsidRPr="00917817" w:rsidRDefault="00D20034" w:rsidP="00D2003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17817">
        <w:rPr>
          <w:rFonts w:ascii="Times New Roman" w:hAnsi="Times New Roman" w:cs="Times New Roman"/>
          <w:b w:val="0"/>
          <w:sz w:val="28"/>
          <w:szCs w:val="28"/>
        </w:rPr>
        <w:t>к Порядку проведения</w:t>
      </w:r>
    </w:p>
    <w:p w:rsidR="00D20034" w:rsidRPr="00917817" w:rsidRDefault="00D20034" w:rsidP="00D2003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17817">
        <w:rPr>
          <w:rFonts w:ascii="Times New Roman" w:hAnsi="Times New Roman" w:cs="Times New Roman"/>
          <w:b w:val="0"/>
          <w:sz w:val="28"/>
          <w:szCs w:val="28"/>
        </w:rPr>
        <w:t>конкурсного отбора программ (проектов)</w:t>
      </w:r>
    </w:p>
    <w:p w:rsidR="00D20034" w:rsidRPr="00917817" w:rsidRDefault="00D20034" w:rsidP="00D2003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17817">
        <w:rPr>
          <w:rFonts w:ascii="Times New Roman" w:hAnsi="Times New Roman" w:cs="Times New Roman"/>
          <w:b w:val="0"/>
          <w:sz w:val="28"/>
          <w:szCs w:val="28"/>
        </w:rPr>
        <w:t>инициативного бюджетирования</w:t>
      </w:r>
    </w:p>
    <w:p w:rsidR="00B44660" w:rsidRDefault="00B44660" w:rsidP="00B446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781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44660">
        <w:rPr>
          <w:rFonts w:ascii="Times New Roman" w:hAnsi="Times New Roman" w:cs="Times New Roman"/>
          <w:sz w:val="28"/>
          <w:szCs w:val="28"/>
        </w:rPr>
        <w:t xml:space="preserve">Семячковского сельского </w:t>
      </w:r>
    </w:p>
    <w:p w:rsidR="00B44660" w:rsidRDefault="00B44660" w:rsidP="00B446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4660">
        <w:rPr>
          <w:rFonts w:ascii="Times New Roman" w:hAnsi="Times New Roman" w:cs="Times New Roman"/>
          <w:sz w:val="28"/>
          <w:szCs w:val="28"/>
        </w:rPr>
        <w:t xml:space="preserve">поселения Трубчевского муниципального </w:t>
      </w:r>
    </w:p>
    <w:p w:rsidR="003D16A2" w:rsidRPr="00107DD0" w:rsidRDefault="00B44660" w:rsidP="00107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4660">
        <w:rPr>
          <w:rFonts w:ascii="Times New Roman" w:hAnsi="Times New Roman" w:cs="Times New Roman"/>
          <w:sz w:val="28"/>
          <w:szCs w:val="28"/>
        </w:rPr>
        <w:t>района Брянской области</w:t>
      </w:r>
    </w:p>
    <w:p w:rsidR="003D16A2" w:rsidRPr="0062416B" w:rsidRDefault="003D16A2" w:rsidP="00E150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1A20" w:rsidRPr="0062416B" w:rsidRDefault="00881A20" w:rsidP="00E150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2"/>
      <w:bookmarkEnd w:id="1"/>
      <w:r w:rsidRPr="0062416B">
        <w:rPr>
          <w:rFonts w:ascii="Times New Roman" w:hAnsi="Times New Roman" w:cs="Times New Roman"/>
          <w:sz w:val="24"/>
          <w:szCs w:val="24"/>
        </w:rPr>
        <w:t>КРИТЕРИИ</w:t>
      </w:r>
    </w:p>
    <w:p w:rsidR="00881A20" w:rsidRDefault="00881A20" w:rsidP="00E1505B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2416B">
        <w:rPr>
          <w:rFonts w:ascii="Times New Roman" w:hAnsi="Times New Roman" w:cs="Times New Roman"/>
          <w:sz w:val="24"/>
          <w:szCs w:val="24"/>
        </w:rPr>
        <w:t>ОЦЕНКИ ПРОЕКТА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7"/>
        <w:gridCol w:w="3190"/>
        <w:gridCol w:w="1794"/>
      </w:tblGrid>
      <w:tr w:rsidR="00E44EFC" w:rsidRPr="00D3689C" w:rsidTr="00E1505B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FC" w:rsidRPr="00E1505B" w:rsidRDefault="00E44EFC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FC" w:rsidRPr="00E1505B" w:rsidRDefault="00E44EFC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FC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44EFC" w:rsidRPr="00E1505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32150" w:rsidRPr="00D3689C" w:rsidTr="00E1505B">
        <w:trPr>
          <w:trHeight w:val="275"/>
        </w:trPr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1. Уровень софинансирования проекта со стороны физических лиц, индивидуальных предпринимателей, юридических лиц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от 1 до 3 %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2150" w:rsidRPr="00D3689C" w:rsidTr="00E1505B">
        <w:trPr>
          <w:trHeight w:val="275"/>
        </w:trPr>
        <w:tc>
          <w:tcPr>
            <w:tcW w:w="2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свыше 3 до 5 %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2150" w:rsidRPr="00D3689C" w:rsidTr="00E1505B">
        <w:trPr>
          <w:trHeight w:val="275"/>
        </w:trPr>
        <w:tc>
          <w:tcPr>
            <w:tcW w:w="2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свыше 5 %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2150" w:rsidRPr="00D3689C" w:rsidTr="00E1505B">
        <w:trPr>
          <w:trHeight w:val="90"/>
        </w:trPr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 xml:space="preserve">2. Актуальность проблемы </w:t>
            </w:r>
            <w:r w:rsidRPr="00E15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(определяется конкурсной комиссией в соответствии с приоритетными сферами реализации инициативных проектов)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2150" w:rsidRPr="00D3689C" w:rsidTr="00E1505B">
        <w:trPr>
          <w:trHeight w:val="90"/>
        </w:trPr>
        <w:tc>
          <w:tcPr>
            <w:tcW w:w="2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2150" w:rsidRPr="00D3689C" w:rsidTr="00E1505B">
        <w:trPr>
          <w:trHeight w:val="90"/>
        </w:trPr>
        <w:tc>
          <w:tcPr>
            <w:tcW w:w="2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2150" w:rsidRPr="00D3689C" w:rsidTr="00E1505B">
        <w:trPr>
          <w:trHeight w:val="198"/>
        </w:trPr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3. Доля участников собрания жителей в поддержку проекта от общего количества жителей населенного пункта (согласно протоколу собрания (собраний) жителей населенного пункта по определению проекта инициативного бюджетирования)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от 1 до 5 %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2150" w:rsidRPr="00D3689C" w:rsidTr="00E1505B">
        <w:trPr>
          <w:trHeight w:val="197"/>
        </w:trPr>
        <w:tc>
          <w:tcPr>
            <w:tcW w:w="2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свыше 5 до 10 %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2150" w:rsidRPr="00D3689C" w:rsidTr="00E1505B">
        <w:trPr>
          <w:trHeight w:val="197"/>
        </w:trPr>
        <w:tc>
          <w:tcPr>
            <w:tcW w:w="2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свыше 10 до 15 %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2150" w:rsidRPr="00D3689C" w:rsidTr="00E1505B">
        <w:trPr>
          <w:trHeight w:val="197"/>
        </w:trPr>
        <w:tc>
          <w:tcPr>
            <w:tcW w:w="2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свыше 15 до 25 %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2150" w:rsidRPr="00D3689C" w:rsidTr="00E1505B">
        <w:trPr>
          <w:trHeight w:val="197"/>
        </w:trPr>
        <w:tc>
          <w:tcPr>
            <w:tcW w:w="2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свыше 25 до 35 %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2150" w:rsidRPr="00D3689C" w:rsidTr="00E1505B">
        <w:trPr>
          <w:trHeight w:val="20"/>
        </w:trPr>
        <w:tc>
          <w:tcPr>
            <w:tcW w:w="2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свыше 35 до 50 %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2150" w:rsidRPr="00D3689C" w:rsidTr="00E1505B">
        <w:trPr>
          <w:trHeight w:val="197"/>
        </w:trPr>
        <w:tc>
          <w:tcPr>
            <w:tcW w:w="2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более 50 %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50" w:rsidRPr="00E1505B" w:rsidRDefault="00E32150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7F96" w:rsidRPr="00A47F96" w:rsidTr="00E1505B">
        <w:trPr>
          <w:trHeight w:val="60"/>
        </w:trPr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15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Стоимость проекта на одного жителя населенного пункт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до 100 рублей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F96" w:rsidRPr="00A47F96" w:rsidTr="00E1505B">
        <w:trPr>
          <w:trHeight w:val="55"/>
        </w:trPr>
        <w:tc>
          <w:tcPr>
            <w:tcW w:w="2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свыше 100 до 250 рублей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7F96" w:rsidRPr="00A47F96" w:rsidTr="00E1505B">
        <w:trPr>
          <w:trHeight w:val="55"/>
        </w:trPr>
        <w:tc>
          <w:tcPr>
            <w:tcW w:w="2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свыше 250 до 500 рублей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7F96" w:rsidRPr="00A47F96" w:rsidTr="00E1505B">
        <w:trPr>
          <w:trHeight w:val="55"/>
        </w:trPr>
        <w:tc>
          <w:tcPr>
            <w:tcW w:w="2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свыше 500 до 750 рублей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7F96" w:rsidRPr="00A47F96" w:rsidTr="00E1505B">
        <w:trPr>
          <w:trHeight w:val="55"/>
        </w:trPr>
        <w:tc>
          <w:tcPr>
            <w:tcW w:w="2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свыше 750 до 1000 рублей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7F96" w:rsidRPr="00A47F96" w:rsidTr="00E1505B">
        <w:trPr>
          <w:trHeight w:val="55"/>
        </w:trPr>
        <w:tc>
          <w:tcPr>
            <w:tcW w:w="2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свыше 1000 до 1500 рублей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7F96" w:rsidRPr="00A47F96" w:rsidTr="00E1505B">
        <w:trPr>
          <w:trHeight w:val="55"/>
        </w:trPr>
        <w:tc>
          <w:tcPr>
            <w:tcW w:w="2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свыше 1500 до 2000 рублей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7F96" w:rsidRPr="00A47F96" w:rsidTr="00E1505B">
        <w:trPr>
          <w:trHeight w:val="55"/>
        </w:trPr>
        <w:tc>
          <w:tcPr>
            <w:tcW w:w="2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свыше 2000 до 2500 рублей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7F96" w:rsidRPr="00A47F96" w:rsidTr="00E1505B">
        <w:trPr>
          <w:trHeight w:val="55"/>
        </w:trPr>
        <w:tc>
          <w:tcPr>
            <w:tcW w:w="2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свыше 2500 до 3000 рублей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7F96" w:rsidRPr="00A47F96" w:rsidTr="00E1505B">
        <w:trPr>
          <w:trHeight w:val="55"/>
        </w:trPr>
        <w:tc>
          <w:tcPr>
            <w:tcW w:w="2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свыше 3000 рублей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F96" w:rsidRPr="00D3689C" w:rsidTr="00E1505B">
        <w:trPr>
          <w:trHeight w:val="278"/>
        </w:trPr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5. Участие в проекте органа территориального общественного самоуправления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органа территориального общественного самоуправления, зарегистрированного в границах территории реализации проекта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7F96" w:rsidRPr="00D3689C" w:rsidTr="00E1505B">
        <w:trPr>
          <w:trHeight w:val="277"/>
        </w:trPr>
        <w:tc>
          <w:tcPr>
            <w:tcW w:w="2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подтверждение о намерении имущественного и (или) трудового участия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96" w:rsidRPr="00E1505B" w:rsidRDefault="00A47F96" w:rsidP="00E1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92605" w:rsidRDefault="00B92605" w:rsidP="00B9260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2605" w:rsidRDefault="00B92605" w:rsidP="00B9260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605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каждому из критериев, указанных в пункте 2 настоящей методики, присваивается количество баллов, соответствующее значению критерия.</w:t>
      </w:r>
    </w:p>
    <w:p w:rsidR="00B92605" w:rsidRDefault="00B92605" w:rsidP="00B9260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2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Значение итогового балла по проекту определяется как сумма баллов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92605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каждому критерию.</w:t>
      </w:r>
    </w:p>
    <w:p w:rsidR="00BE398C" w:rsidRPr="00B92605" w:rsidRDefault="00B92605" w:rsidP="00B9260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2605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оценки проектов конкурсной комиссией формируется рейтинг инициативных проектов, исходя из итогового балла проекта (от наибольшего итогового балла проекта (первое рейтинговое место) к наименьшему итоговому баллу проекта (последнее рейтинговое место)).</w:t>
      </w:r>
    </w:p>
    <w:sectPr w:rsidR="00BE398C" w:rsidRPr="00B92605" w:rsidSect="00B54967">
      <w:head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BA" w:rsidRDefault="00A518BA" w:rsidP="00B54967">
      <w:pPr>
        <w:spacing w:after="0" w:line="240" w:lineRule="auto"/>
      </w:pPr>
      <w:r>
        <w:separator/>
      </w:r>
    </w:p>
  </w:endnote>
  <w:endnote w:type="continuationSeparator" w:id="1">
    <w:p w:rsidR="00A518BA" w:rsidRDefault="00A518BA" w:rsidP="00B5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BA" w:rsidRDefault="00A518BA" w:rsidP="00B54967">
      <w:pPr>
        <w:spacing w:after="0" w:line="240" w:lineRule="auto"/>
      </w:pPr>
      <w:r>
        <w:separator/>
      </w:r>
    </w:p>
  </w:footnote>
  <w:footnote w:type="continuationSeparator" w:id="1">
    <w:p w:rsidR="00A518BA" w:rsidRDefault="00A518BA" w:rsidP="00B5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0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4967" w:rsidRPr="00B54967" w:rsidRDefault="00F61C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49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4967" w:rsidRPr="00B549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49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260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549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4967" w:rsidRDefault="00B549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6A2"/>
    <w:rsid w:val="000118D2"/>
    <w:rsid w:val="000152EC"/>
    <w:rsid w:val="0001677F"/>
    <w:rsid w:val="000A66A5"/>
    <w:rsid w:val="00107DD0"/>
    <w:rsid w:val="001F2367"/>
    <w:rsid w:val="00233D56"/>
    <w:rsid w:val="0029491E"/>
    <w:rsid w:val="002953CF"/>
    <w:rsid w:val="002A654F"/>
    <w:rsid w:val="002B54B5"/>
    <w:rsid w:val="002E5100"/>
    <w:rsid w:val="0039241C"/>
    <w:rsid w:val="003965FA"/>
    <w:rsid w:val="003A4AAA"/>
    <w:rsid w:val="003D16A2"/>
    <w:rsid w:val="003F680A"/>
    <w:rsid w:val="00461312"/>
    <w:rsid w:val="00473225"/>
    <w:rsid w:val="004806F9"/>
    <w:rsid w:val="00487B73"/>
    <w:rsid w:val="00490F16"/>
    <w:rsid w:val="004B0027"/>
    <w:rsid w:val="004D13D1"/>
    <w:rsid w:val="004D178C"/>
    <w:rsid w:val="005011BB"/>
    <w:rsid w:val="00557AEF"/>
    <w:rsid w:val="00566575"/>
    <w:rsid w:val="005C4FA5"/>
    <w:rsid w:val="006C36AF"/>
    <w:rsid w:val="006C5019"/>
    <w:rsid w:val="006E499A"/>
    <w:rsid w:val="00700437"/>
    <w:rsid w:val="00727171"/>
    <w:rsid w:val="007C6347"/>
    <w:rsid w:val="008041A7"/>
    <w:rsid w:val="008214DB"/>
    <w:rsid w:val="00823D97"/>
    <w:rsid w:val="00847AFF"/>
    <w:rsid w:val="00881A20"/>
    <w:rsid w:val="00887696"/>
    <w:rsid w:val="008F659A"/>
    <w:rsid w:val="00917817"/>
    <w:rsid w:val="00942883"/>
    <w:rsid w:val="00957AFB"/>
    <w:rsid w:val="009A32A7"/>
    <w:rsid w:val="009A4209"/>
    <w:rsid w:val="009B6548"/>
    <w:rsid w:val="009B6716"/>
    <w:rsid w:val="009D5830"/>
    <w:rsid w:val="00A47F96"/>
    <w:rsid w:val="00A518BA"/>
    <w:rsid w:val="00A9763E"/>
    <w:rsid w:val="00AA7423"/>
    <w:rsid w:val="00B44660"/>
    <w:rsid w:val="00B54967"/>
    <w:rsid w:val="00B567A3"/>
    <w:rsid w:val="00B92605"/>
    <w:rsid w:val="00BA4E8B"/>
    <w:rsid w:val="00BE398C"/>
    <w:rsid w:val="00C27CF9"/>
    <w:rsid w:val="00C42802"/>
    <w:rsid w:val="00C4464F"/>
    <w:rsid w:val="00D20034"/>
    <w:rsid w:val="00D51E75"/>
    <w:rsid w:val="00DC5D8C"/>
    <w:rsid w:val="00DD100E"/>
    <w:rsid w:val="00E1505B"/>
    <w:rsid w:val="00E30262"/>
    <w:rsid w:val="00E32150"/>
    <w:rsid w:val="00E44EFC"/>
    <w:rsid w:val="00EF6432"/>
    <w:rsid w:val="00F31FD3"/>
    <w:rsid w:val="00F37B99"/>
    <w:rsid w:val="00F425B2"/>
    <w:rsid w:val="00F5079A"/>
    <w:rsid w:val="00F558D9"/>
    <w:rsid w:val="00F61C16"/>
    <w:rsid w:val="00FB63C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967"/>
  </w:style>
  <w:style w:type="paragraph" w:styleId="a7">
    <w:name w:val="footer"/>
    <w:basedOn w:val="a"/>
    <w:link w:val="a8"/>
    <w:uiPriority w:val="99"/>
    <w:semiHidden/>
    <w:unhideWhenUsed/>
    <w:rsid w:val="00B5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9F7577EE06286F0382DD7BF7A578F843391769CE2537BECB3122DD6D3BFF4D82BA1F59CFl4E7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F7577EE06286F0382DD7BF7A578F843391769CE2537BECB3122DD6D3BFF4D82BA1F5DCC4Cl3E9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dcterms:created xsi:type="dcterms:W3CDTF">2019-03-05T05:57:00Z</dcterms:created>
  <dcterms:modified xsi:type="dcterms:W3CDTF">2023-11-27T13:38:00Z</dcterms:modified>
</cp:coreProperties>
</file>